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EF69B" w14:textId="75199C48" w:rsidR="00C92359" w:rsidRPr="00C92359" w:rsidRDefault="006A48D3"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3GPP TSG-RAN WG3</w:t>
      </w:r>
      <w:r w:rsidR="00C92359" w:rsidRPr="00C92359">
        <w:rPr>
          <w:rFonts w:eastAsia="MS Mincho"/>
          <w:b/>
          <w:sz w:val="24"/>
          <w:szCs w:val="24"/>
          <w:lang w:val="en-GB" w:eastAsia="x-none"/>
        </w:rPr>
        <w:t xml:space="preserve"> Meeting #1</w:t>
      </w:r>
      <w:r w:rsidR="003A5288">
        <w:rPr>
          <w:rFonts w:eastAsia="MS Mincho"/>
          <w:b/>
          <w:sz w:val="24"/>
          <w:szCs w:val="24"/>
          <w:lang w:val="en-GB" w:eastAsia="x-none"/>
        </w:rPr>
        <w:t>1</w:t>
      </w:r>
      <w:r w:rsidR="00244726">
        <w:rPr>
          <w:rFonts w:eastAsia="MS Mincho"/>
          <w:b/>
          <w:sz w:val="24"/>
          <w:szCs w:val="24"/>
          <w:lang w:val="en-GB" w:eastAsia="x-none"/>
        </w:rPr>
        <w:t>4</w:t>
      </w:r>
      <w:r w:rsidR="00CC371F">
        <w:rPr>
          <w:rFonts w:eastAsia="MS Mincho"/>
          <w:b/>
          <w:sz w:val="24"/>
          <w:szCs w:val="24"/>
          <w:lang w:val="en-GB" w:eastAsia="x-none"/>
        </w:rPr>
        <w:t>-e</w:t>
      </w:r>
      <w:r w:rsidR="00C92359" w:rsidRPr="00C92359">
        <w:rPr>
          <w:rFonts w:eastAsia="MS Mincho"/>
          <w:b/>
          <w:sz w:val="24"/>
          <w:szCs w:val="24"/>
          <w:lang w:val="en-GB" w:eastAsia="x-none"/>
        </w:rPr>
        <w:tab/>
      </w:r>
      <w:r w:rsidR="00F870F3" w:rsidRPr="00F870F3">
        <w:rPr>
          <w:rFonts w:eastAsia="MS Mincho"/>
          <w:b/>
          <w:sz w:val="24"/>
          <w:szCs w:val="24"/>
          <w:lang w:val="en-GB" w:eastAsia="x-none"/>
        </w:rPr>
        <w:t>R3-215495</w:t>
      </w:r>
      <w:bookmarkStart w:id="0" w:name="_GoBack"/>
      <w:bookmarkEnd w:id="0"/>
    </w:p>
    <w:p w14:paraId="3A5784F5" w14:textId="4584A69A" w:rsidR="00C92359" w:rsidRPr="00C92359" w:rsidRDefault="00FC56D8"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Online</w:t>
      </w:r>
      <w:r w:rsidR="00CC371F">
        <w:rPr>
          <w:rFonts w:eastAsia="MS Mincho"/>
          <w:b/>
          <w:sz w:val="24"/>
          <w:szCs w:val="24"/>
          <w:lang w:val="en-GB" w:eastAsia="x-none"/>
        </w:rPr>
        <w:t xml:space="preserve">, </w:t>
      </w:r>
      <w:r w:rsidR="001014C6">
        <w:rPr>
          <w:rFonts w:eastAsia="MS Mincho"/>
          <w:b/>
          <w:sz w:val="24"/>
          <w:szCs w:val="24"/>
          <w:lang w:val="en-GB" w:eastAsia="x-none"/>
        </w:rPr>
        <w:t>1</w:t>
      </w:r>
      <w:r w:rsidR="0008364D">
        <w:rPr>
          <w:rFonts w:eastAsia="MS Mincho"/>
          <w:b/>
          <w:sz w:val="24"/>
          <w:szCs w:val="24"/>
          <w:lang w:val="en-GB" w:eastAsia="x-none"/>
        </w:rPr>
        <w:t>–</w:t>
      </w:r>
      <w:r w:rsidR="00244726">
        <w:rPr>
          <w:rFonts w:eastAsia="MS Mincho"/>
          <w:b/>
          <w:sz w:val="24"/>
          <w:szCs w:val="24"/>
          <w:lang w:val="en-GB" w:eastAsia="x-none"/>
        </w:rPr>
        <w:t>11</w:t>
      </w:r>
      <w:r w:rsidR="001014C6">
        <w:rPr>
          <w:rFonts w:eastAsia="MS Mincho"/>
          <w:b/>
          <w:sz w:val="24"/>
          <w:szCs w:val="24"/>
          <w:lang w:val="en-GB" w:eastAsia="x-none"/>
        </w:rPr>
        <w:t xml:space="preserve"> </w:t>
      </w:r>
      <w:r w:rsidR="00244726">
        <w:rPr>
          <w:rFonts w:eastAsia="MS Mincho"/>
          <w:b/>
          <w:sz w:val="24"/>
          <w:szCs w:val="24"/>
          <w:lang w:val="en-GB" w:eastAsia="x-none"/>
        </w:rPr>
        <w:t>Nov</w:t>
      </w:r>
      <w:r w:rsidR="00CC371F">
        <w:rPr>
          <w:rFonts w:eastAsia="MS Mincho"/>
          <w:b/>
          <w:sz w:val="24"/>
          <w:szCs w:val="24"/>
          <w:lang w:val="en-GB" w:eastAsia="x-none"/>
        </w:rPr>
        <w:t xml:space="preserve"> 202</w:t>
      </w:r>
      <w:r w:rsidR="00F01ECB">
        <w:rPr>
          <w:rFonts w:eastAsia="MS Mincho"/>
          <w:b/>
          <w:sz w:val="24"/>
          <w:szCs w:val="24"/>
          <w:lang w:val="en-GB" w:eastAsia="x-none"/>
        </w:rPr>
        <w:t>1</w:t>
      </w:r>
    </w:p>
    <w:p w14:paraId="4A946D04" w14:textId="77777777" w:rsidR="005F705D" w:rsidRPr="005D2C51" w:rsidRDefault="005F705D" w:rsidP="005F705D">
      <w:pPr>
        <w:tabs>
          <w:tab w:val="left" w:pos="567"/>
        </w:tabs>
        <w:rPr>
          <w:rStyle w:val="apple-style-span"/>
          <w:rFonts w:cs="Arial"/>
          <w:sz w:val="16"/>
          <w:szCs w:val="16"/>
        </w:rPr>
      </w:pPr>
    </w:p>
    <w:p w14:paraId="3B270D44" w14:textId="57B4AE97"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A48D3">
        <w:rPr>
          <w:b/>
          <w:sz w:val="24"/>
          <w:szCs w:val="24"/>
        </w:rPr>
        <w:t>13.</w:t>
      </w:r>
      <w:r w:rsidR="003A5288">
        <w:rPr>
          <w:b/>
          <w:sz w:val="24"/>
          <w:szCs w:val="24"/>
        </w:rPr>
        <w:t>2</w:t>
      </w:r>
      <w:r w:rsidR="00974F3E">
        <w:rPr>
          <w:b/>
          <w:sz w:val="24"/>
          <w:szCs w:val="24"/>
        </w:rPr>
        <w:t>.</w:t>
      </w:r>
      <w:r w:rsidR="00DA7679">
        <w:rPr>
          <w:b/>
          <w:sz w:val="24"/>
          <w:szCs w:val="24"/>
        </w:rPr>
        <w:t>1.1</w:t>
      </w:r>
    </w:p>
    <w:p w14:paraId="6434C93C"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818F357" w14:textId="45EE686D" w:rsidR="00745452" w:rsidRDefault="0060603E" w:rsidP="006F09F0">
      <w:pPr>
        <w:ind w:left="1800" w:hanging="1800"/>
        <w:jc w:val="left"/>
        <w:rPr>
          <w:b/>
          <w:sz w:val="24"/>
          <w:szCs w:val="24"/>
        </w:rPr>
      </w:pPr>
      <w:r w:rsidRPr="00212204">
        <w:rPr>
          <w:b/>
          <w:sz w:val="24"/>
          <w:szCs w:val="24"/>
        </w:rPr>
        <w:t>Title:</w:t>
      </w:r>
      <w:r w:rsidR="002D479B" w:rsidRPr="005F705D">
        <w:rPr>
          <w:b/>
          <w:sz w:val="24"/>
          <w:szCs w:val="24"/>
        </w:rPr>
        <w:tab/>
      </w:r>
      <w:r w:rsidR="00E42D1C">
        <w:rPr>
          <w:b/>
          <w:sz w:val="24"/>
          <w:szCs w:val="24"/>
        </w:rPr>
        <w:t>Harmonized</w:t>
      </w:r>
      <w:r w:rsidR="00244726">
        <w:rPr>
          <w:b/>
          <w:sz w:val="24"/>
          <w:szCs w:val="24"/>
        </w:rPr>
        <w:t xml:space="preserve"> proposal on alternatives for full inter-donor IAB-node migration</w:t>
      </w:r>
    </w:p>
    <w:p w14:paraId="503C23B3" w14:textId="33F0244E"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0071107A">
        <w:rPr>
          <w:b/>
          <w:sz w:val="24"/>
          <w:szCs w:val="24"/>
        </w:rPr>
        <w:t>Decision</w:t>
      </w:r>
    </w:p>
    <w:p w14:paraId="2E3274BA"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60B4D038" w14:textId="45CA6383" w:rsidR="003A2CF2" w:rsidRDefault="00050600" w:rsidP="00805E51">
      <w:pPr>
        <w:rPr>
          <w:rFonts w:asciiTheme="minorHAnsi" w:hAnsiTheme="minorHAnsi"/>
          <w:lang w:val="en-GB"/>
        </w:rPr>
      </w:pPr>
      <w:r>
        <w:rPr>
          <w:rFonts w:asciiTheme="minorHAnsi" w:hAnsiTheme="minorHAnsi"/>
          <w:lang w:val="en-GB"/>
        </w:rPr>
        <w:t>At</w:t>
      </w:r>
      <w:r w:rsidR="003A3AE3">
        <w:rPr>
          <w:rFonts w:asciiTheme="minorHAnsi" w:hAnsiTheme="minorHAnsi"/>
          <w:lang w:val="en-GB"/>
        </w:rPr>
        <w:t xml:space="preserve"> the RAN3#11</w:t>
      </w:r>
      <w:r>
        <w:rPr>
          <w:rFonts w:asciiTheme="minorHAnsi" w:hAnsiTheme="minorHAnsi"/>
          <w:lang w:val="en-GB"/>
        </w:rPr>
        <w:t>2</w:t>
      </w:r>
      <w:r w:rsidR="003A3AE3">
        <w:rPr>
          <w:rFonts w:asciiTheme="minorHAnsi" w:hAnsiTheme="minorHAnsi"/>
          <w:lang w:val="en-GB"/>
        </w:rPr>
        <w:t xml:space="preserve">-e meeting, </w:t>
      </w:r>
      <w:r>
        <w:rPr>
          <w:rFonts w:asciiTheme="minorHAnsi" w:hAnsiTheme="minorHAnsi"/>
          <w:lang w:val="en-GB"/>
        </w:rPr>
        <w:t>two implementation alternatives were agreed for full inter-donor IAB-node migration</w:t>
      </w:r>
      <w:r w:rsidR="002F1CDD">
        <w:rPr>
          <w:rFonts w:asciiTheme="minorHAnsi" w:hAnsiTheme="minorHAnsi"/>
          <w:lang w:val="en-GB"/>
        </w:rPr>
        <w:t>:</w:t>
      </w:r>
    </w:p>
    <w:tbl>
      <w:tblPr>
        <w:tblStyle w:val="TableGrid"/>
        <w:tblW w:w="0" w:type="auto"/>
        <w:tblLook w:val="04A0" w:firstRow="1" w:lastRow="0" w:firstColumn="1" w:lastColumn="0" w:noHBand="0" w:noVBand="1"/>
      </w:tblPr>
      <w:tblGrid>
        <w:gridCol w:w="10070"/>
      </w:tblGrid>
      <w:tr w:rsidR="00A360BE" w:rsidRPr="00F27804" w14:paraId="6347E082" w14:textId="77777777" w:rsidTr="00A360BE">
        <w:tc>
          <w:tcPr>
            <w:tcW w:w="10070" w:type="dxa"/>
          </w:tcPr>
          <w:p w14:paraId="097B3456" w14:textId="77777777" w:rsidR="00050600" w:rsidRPr="00D05DAE" w:rsidRDefault="00050600" w:rsidP="00050600">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Agree on the following terminologies and definitions:</w:t>
            </w:r>
          </w:p>
          <w:p w14:paraId="5693709A" w14:textId="77777777" w:rsidR="00050600" w:rsidRPr="00D05DAE" w:rsidRDefault="00050600" w:rsidP="00050600">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Boundary IAB node: IAB-node, whose IAB-DU is terminated to a different IAB-donor-CU than a parent DU</w:t>
            </w:r>
          </w:p>
          <w:p w14:paraId="7153A7F9" w14:textId="77777777" w:rsidR="00050600" w:rsidRPr="00D05DAE" w:rsidRDefault="00050600" w:rsidP="00050600">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Partial Migration: the boundary IAB-MT is migrated to the 2nd IAB-donor-CU, while the boundary IAB-DU and descendant IAB node(s) (if any) are terminated to the 1st IAB-donor-CU.</w:t>
            </w:r>
          </w:p>
          <w:p w14:paraId="315FE81B" w14:textId="77777777" w:rsidR="00050600" w:rsidRDefault="00050600" w:rsidP="00050600">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xml:space="preserve">- Full Migration: the boundary IAB node and the descendant IAB node(s) (if any) are migrated (both RRC and F1 connection) to the 2nd IAB-donor-CU from 1st IAB-donor-CU. </w:t>
            </w:r>
          </w:p>
          <w:p w14:paraId="475815F8" w14:textId="77777777" w:rsidR="00050600" w:rsidRPr="00D05DAE" w:rsidRDefault="00050600" w:rsidP="00050600">
            <w:pPr>
              <w:widowControl w:val="0"/>
              <w:rPr>
                <w:rFonts w:ascii="Calibri" w:hAnsi="Calibri" w:cs="Calibri"/>
                <w:b/>
                <w:bCs/>
                <w:color w:val="00B050"/>
                <w:sz w:val="18"/>
                <w:szCs w:val="24"/>
              </w:rPr>
            </w:pPr>
            <w:r w:rsidRPr="00D05DAE">
              <w:rPr>
                <w:rFonts w:ascii="Calibri" w:hAnsi="Calibri" w:cs="Calibri"/>
                <w:b/>
                <w:bCs/>
                <w:color w:val="00B050"/>
                <w:sz w:val="18"/>
                <w:szCs w:val="24"/>
              </w:rPr>
              <w:t>The following two implementation alternatives, which involve two logical IAB-DUs at the boundary IAB node, are to be further discussed in the scope of Full Migration:</w:t>
            </w:r>
          </w:p>
          <w:p w14:paraId="194FB3D9" w14:textId="77777777" w:rsidR="00050600" w:rsidRPr="00D05DAE" w:rsidRDefault="00050600" w:rsidP="00050600">
            <w:pPr>
              <w:widowControl w:val="0"/>
              <w:rPr>
                <w:rFonts w:ascii="Calibri" w:hAnsi="Calibri" w:cs="Calibri"/>
                <w:b/>
                <w:bCs/>
                <w:color w:val="00B050"/>
                <w:sz w:val="18"/>
                <w:szCs w:val="24"/>
              </w:rPr>
            </w:pPr>
            <w:r w:rsidRPr="00D05DAE">
              <w:rPr>
                <w:rFonts w:ascii="Calibri" w:hAnsi="Calibri" w:cs="Calibri"/>
                <w:b/>
                <w:bCs/>
                <w:color w:val="00B050"/>
                <w:sz w:val="18"/>
                <w:szCs w:val="24"/>
              </w:rPr>
              <w:t>- Alt1: the two logical DUs use separate physical cell resources</w:t>
            </w:r>
          </w:p>
          <w:p w14:paraId="696859BF" w14:textId="034F9B4C" w:rsidR="00A360BE" w:rsidRPr="00563B35" w:rsidRDefault="00050600" w:rsidP="00050600">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Alt2: the two logical DUs use the same physical cell resources</w:t>
            </w:r>
          </w:p>
        </w:tc>
      </w:tr>
    </w:tbl>
    <w:p w14:paraId="5ABAC82F" w14:textId="0FFA9E38" w:rsidR="00050600" w:rsidRDefault="00050600" w:rsidP="00805E51">
      <w:pPr>
        <w:spacing w:before="240"/>
        <w:rPr>
          <w:rFonts w:ascii="Calibri" w:eastAsia="Malgun Gothic" w:hAnsi="Calibri" w:cs="Batang"/>
          <w:lang w:val="en-GB" w:eastAsia="ko-KR"/>
        </w:rPr>
      </w:pPr>
      <w:r>
        <w:rPr>
          <w:rFonts w:ascii="Calibri" w:eastAsia="Malgun Gothic" w:hAnsi="Calibri" w:cs="Batang"/>
          <w:lang w:val="en-GB" w:eastAsia="ko-KR"/>
        </w:rPr>
        <w:t>At the RAN3#113-e meeting, RAN3 liaised RAN</w:t>
      </w:r>
      <w:r w:rsidR="001E0D4B">
        <w:rPr>
          <w:rFonts w:ascii="Calibri" w:eastAsia="Malgun Gothic" w:hAnsi="Calibri" w:cs="Batang"/>
          <w:lang w:val="en-GB" w:eastAsia="ko-KR"/>
        </w:rPr>
        <w:t>1, RAN2, and RAN4 regarding the two alternatives for full migration:</w:t>
      </w:r>
    </w:p>
    <w:tbl>
      <w:tblPr>
        <w:tblStyle w:val="TableGrid"/>
        <w:tblW w:w="10075" w:type="dxa"/>
        <w:tblLook w:val="04A0" w:firstRow="1" w:lastRow="0" w:firstColumn="1" w:lastColumn="0" w:noHBand="0" w:noVBand="1"/>
      </w:tblPr>
      <w:tblGrid>
        <w:gridCol w:w="10075"/>
      </w:tblGrid>
      <w:tr w:rsidR="00805E51" w14:paraId="4D2927C1" w14:textId="77777777" w:rsidTr="001D743F">
        <w:tc>
          <w:tcPr>
            <w:tcW w:w="10075" w:type="dxa"/>
          </w:tcPr>
          <w:p w14:paraId="6534F203" w14:textId="77777777" w:rsidR="00805E51" w:rsidRDefault="00805E51" w:rsidP="00E221FA">
            <w:pPr>
              <w:pStyle w:val="NormalWeb"/>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 xml:space="preserve">RAN3 would like to ask RAN1, RAN2, and RAN4 to provide feedback, e.g, </w:t>
            </w:r>
            <w:r>
              <w:rPr>
                <w:rFonts w:ascii="Arial" w:eastAsia="DengXian" w:hAnsi="Arial" w:cs="Arial"/>
                <w:b/>
                <w:sz w:val="20"/>
                <w:szCs w:val="20"/>
                <w:lang w:val="en-GB"/>
              </w:rPr>
              <w:t xml:space="preserve">any technical issue for the above Alt1 and Alt2? </w:t>
            </w:r>
            <w:r>
              <w:rPr>
                <w:rFonts w:ascii="Arial" w:eastAsia="DengXian" w:hAnsi="Arial" w:cs="Arial"/>
                <w:sz w:val="20"/>
                <w:szCs w:val="20"/>
                <w:lang w:val="en-GB"/>
              </w:rPr>
              <w:t xml:space="preserve"> </w:t>
            </w:r>
          </w:p>
          <w:p w14:paraId="3B355247" w14:textId="77777777" w:rsidR="00805E51" w:rsidRPr="00315BB7" w:rsidRDefault="00805E51" w:rsidP="00E221FA">
            <w:pPr>
              <w:pStyle w:val="NormalWeb"/>
              <w:snapToGrid w:val="0"/>
              <w:spacing w:after="0" w:afterAutospacing="0"/>
              <w:rPr>
                <w:rFonts w:ascii="Arial" w:eastAsia="DengXian" w:hAnsi="Arial" w:cs="Arial"/>
                <w:sz w:val="20"/>
                <w:szCs w:val="20"/>
                <w:lang w:val="en-GB"/>
              </w:rPr>
            </w:pPr>
            <w:r w:rsidRPr="00315BB7">
              <w:rPr>
                <w:rFonts w:ascii="Arial" w:eastAsia="DengXian" w:hAnsi="Arial" w:cs="Arial" w:hint="eastAsia"/>
                <w:sz w:val="20"/>
                <w:szCs w:val="20"/>
                <w:lang w:val="en-GB"/>
              </w:rPr>
              <w:t>F</w:t>
            </w:r>
            <w:r w:rsidRPr="00315BB7">
              <w:rPr>
                <w:rFonts w:ascii="Arial" w:eastAsia="DengXian" w:hAnsi="Arial" w:cs="Arial"/>
                <w:sz w:val="20"/>
                <w:szCs w:val="20"/>
                <w:lang w:val="en-GB"/>
              </w:rPr>
              <w:t xml:space="preserve">or </w:t>
            </w:r>
            <w:r w:rsidRPr="00C30603">
              <w:rPr>
                <w:rFonts w:ascii="Arial" w:eastAsia="DengXian" w:hAnsi="Arial" w:cs="Arial"/>
                <w:b/>
                <w:sz w:val="20"/>
                <w:szCs w:val="20"/>
                <w:lang w:val="en-GB"/>
              </w:rPr>
              <w:t>Alt2</w:t>
            </w:r>
            <w:r w:rsidRPr="00315BB7">
              <w:rPr>
                <w:rFonts w:ascii="Arial" w:eastAsia="DengXian" w:hAnsi="Arial" w:cs="Arial"/>
                <w:sz w:val="20"/>
                <w:szCs w:val="20"/>
                <w:lang w:val="en-GB"/>
              </w:rPr>
              <w:t xml:space="preserve">, RAN3 also has some concrete questions w.r.t., PCI/NCGI, i.e., </w:t>
            </w:r>
          </w:p>
          <w:p w14:paraId="07A24AEF" w14:textId="77777777" w:rsidR="00805E51" w:rsidRPr="00636508" w:rsidRDefault="00805E51" w:rsidP="00805E51">
            <w:pPr>
              <w:pStyle w:val="ListParagraph"/>
              <w:numPr>
                <w:ilvl w:val="0"/>
                <w:numId w:val="35"/>
              </w:numPr>
              <w:spacing w:before="0" w:after="0"/>
              <w:contextualSpacing w:val="0"/>
              <w:jc w:val="left"/>
              <w:rPr>
                <w:rFonts w:eastAsia="DengXian" w:cs="Arial"/>
                <w:b/>
                <w:lang w:eastAsia="zh-CN"/>
              </w:rPr>
            </w:pPr>
            <w:r w:rsidRPr="00636508">
              <w:rPr>
                <w:rFonts w:eastAsia="DengXian" w:cs="Arial"/>
                <w:b/>
                <w:lang w:eastAsia="zh-CN"/>
              </w:rPr>
              <w:t>Q1: Whether the current specification enables a RRC CONNECTED UE remains connected, while observing the change of NCGI, and no change to the PCI?</w:t>
            </w:r>
          </w:p>
          <w:p w14:paraId="78215DD4" w14:textId="77777777" w:rsidR="00805E51" w:rsidRPr="00636508" w:rsidRDefault="00805E51" w:rsidP="00805E51">
            <w:pPr>
              <w:pStyle w:val="ListParagraph"/>
              <w:numPr>
                <w:ilvl w:val="0"/>
                <w:numId w:val="35"/>
              </w:numPr>
              <w:spacing w:before="0" w:after="0"/>
              <w:contextualSpacing w:val="0"/>
              <w:jc w:val="left"/>
              <w:rPr>
                <w:rFonts w:eastAsia="DengXian" w:cs="Arial"/>
                <w:b/>
                <w:lang w:eastAsia="zh-CN"/>
              </w:rPr>
            </w:pPr>
            <w:r w:rsidRPr="00636508">
              <w:rPr>
                <w:rFonts w:eastAsia="DengXian" w:cs="Arial"/>
                <w:b/>
                <w:lang w:eastAsia="zh-CN"/>
              </w:rPr>
              <w:t>Q2: is it possible to use same PCI for cell1 and cell2, and support the HO from cell1 to cell2 without new impact to the UE (e.g. a legacy UE)?</w:t>
            </w:r>
          </w:p>
          <w:p w14:paraId="33199842" w14:textId="77777777" w:rsidR="00805E51" w:rsidRPr="00636508" w:rsidRDefault="00805E51" w:rsidP="00805E51">
            <w:pPr>
              <w:pStyle w:val="ListParagraph"/>
              <w:numPr>
                <w:ilvl w:val="0"/>
                <w:numId w:val="35"/>
              </w:numPr>
              <w:snapToGrid w:val="0"/>
              <w:spacing w:before="0" w:after="0"/>
              <w:contextualSpacing w:val="0"/>
              <w:jc w:val="left"/>
              <w:rPr>
                <w:rFonts w:eastAsia="DengXian" w:cs="Arial"/>
                <w:b/>
                <w:lang w:eastAsia="zh-CN"/>
              </w:rPr>
            </w:pPr>
            <w:r w:rsidRPr="00636508">
              <w:rPr>
                <w:rFonts w:eastAsia="DengXian" w:cs="Arial"/>
                <w:b/>
                <w:lang w:eastAsia="zh-CN"/>
              </w:rPr>
              <w:t>Q3: when cell1 and cell2 use different PCI/NCGI, is it possible to use one set of shared resource, without new impact to the UE?</w:t>
            </w:r>
          </w:p>
          <w:p w14:paraId="3F8ADC10" w14:textId="253A4352" w:rsidR="00805E51" w:rsidRPr="00805E51" w:rsidRDefault="00805E51" w:rsidP="00805E51">
            <w:pPr>
              <w:pStyle w:val="NormalWeb"/>
              <w:snapToGrid w:val="0"/>
              <w:spacing w:before="0" w:beforeAutospacing="0" w:after="0" w:afterAutospacing="0"/>
              <w:rPr>
                <w:rFonts w:ascii="Arial" w:eastAsia="DengXian" w:hAnsi="Arial" w:cs="Arial"/>
                <w:b/>
                <w:sz w:val="20"/>
                <w:szCs w:val="20"/>
                <w:lang w:val="en-GB"/>
              </w:rPr>
            </w:pPr>
            <w:r w:rsidRPr="00636508">
              <w:rPr>
                <w:rFonts w:ascii="Arial" w:eastAsia="DengXian" w:hAnsi="Arial" w:cs="Arial"/>
                <w:sz w:val="20"/>
                <w:szCs w:val="20"/>
                <w:lang w:val="en-GB"/>
              </w:rPr>
              <w:t xml:space="preserve">If new impact to the UE is identified, please also indicate in details.  </w:t>
            </w:r>
          </w:p>
        </w:tc>
      </w:tr>
    </w:tbl>
    <w:p w14:paraId="06BC5B44" w14:textId="64CD13EF" w:rsidR="00ED7213" w:rsidRDefault="001D743F" w:rsidP="00ED7213">
      <w:pPr>
        <w:spacing w:before="120"/>
        <w:rPr>
          <w:rFonts w:ascii="Calibri" w:eastAsia="Malgun Gothic" w:hAnsi="Calibri" w:cs="Batang"/>
          <w:lang w:val="en-GB" w:eastAsia="ko-KR"/>
        </w:rPr>
      </w:pPr>
      <w:r>
        <w:rPr>
          <w:rFonts w:ascii="Calibri" w:eastAsia="Malgun Gothic" w:hAnsi="Calibri" w:cs="Batang"/>
          <w:lang w:val="en-GB" w:eastAsia="ko-KR"/>
        </w:rPr>
        <w:t>Broadly speaking</w:t>
      </w:r>
      <w:r w:rsidR="0051706A">
        <w:rPr>
          <w:rFonts w:ascii="Calibri" w:eastAsia="Malgun Gothic" w:hAnsi="Calibri" w:cs="Batang"/>
          <w:lang w:val="en-GB" w:eastAsia="ko-KR"/>
        </w:rPr>
        <w:t>,</w:t>
      </w:r>
      <w:r>
        <w:rPr>
          <w:rFonts w:ascii="Calibri" w:eastAsia="Malgun Gothic" w:hAnsi="Calibri" w:cs="Batang"/>
          <w:lang w:val="en-GB" w:eastAsia="ko-KR"/>
        </w:rPr>
        <w:t xml:space="preserve"> the Reply LSs from RAN1 [1], RAN2 [2] and RAN4 [3] did not identify any major technical issues within the specifications to support Alt1. However, since Alt1 </w:t>
      </w:r>
      <w:r w:rsidR="0051706A">
        <w:rPr>
          <w:rFonts w:ascii="Calibri" w:eastAsia="Malgun Gothic" w:hAnsi="Calibri" w:cs="Batang"/>
          <w:lang w:val="en-GB" w:eastAsia="ko-KR"/>
        </w:rPr>
        <w:t xml:space="preserve">is </w:t>
      </w:r>
      <w:r>
        <w:rPr>
          <w:rFonts w:ascii="Calibri" w:eastAsia="Malgun Gothic" w:hAnsi="Calibri" w:cs="Batang"/>
          <w:lang w:val="en-GB" w:eastAsia="ko-KR"/>
        </w:rPr>
        <w:t>define</w:t>
      </w:r>
      <w:r w:rsidR="0051706A">
        <w:rPr>
          <w:rFonts w:ascii="Calibri" w:eastAsia="Malgun Gothic" w:hAnsi="Calibri" w:cs="Batang"/>
          <w:lang w:val="en-GB" w:eastAsia="ko-KR"/>
        </w:rPr>
        <w:t>d with</w:t>
      </w:r>
      <w:r>
        <w:rPr>
          <w:rFonts w:ascii="Calibri" w:eastAsia="Malgun Gothic" w:hAnsi="Calibri" w:cs="Batang"/>
          <w:lang w:val="en-GB" w:eastAsia="ko-KR"/>
        </w:rPr>
        <w:t xml:space="preserve"> two logical DUs </w:t>
      </w:r>
      <w:r w:rsidR="0051706A">
        <w:rPr>
          <w:rFonts w:ascii="Calibri" w:eastAsia="Malgun Gothic" w:hAnsi="Calibri" w:cs="Batang"/>
          <w:lang w:val="en-GB" w:eastAsia="ko-KR"/>
        </w:rPr>
        <w:t>using</w:t>
      </w:r>
      <w:r>
        <w:rPr>
          <w:rFonts w:ascii="Calibri" w:eastAsia="Malgun Gothic" w:hAnsi="Calibri" w:cs="Batang"/>
          <w:lang w:val="en-GB" w:eastAsia="ko-KR"/>
        </w:rPr>
        <w:t xml:space="preserve"> separate physical cell resources, it is </w:t>
      </w:r>
      <w:r w:rsidR="0051706A">
        <w:rPr>
          <w:rFonts w:ascii="Calibri" w:eastAsia="Malgun Gothic" w:hAnsi="Calibri" w:cs="Batang"/>
          <w:lang w:val="en-GB" w:eastAsia="ko-KR"/>
        </w:rPr>
        <w:t>inherently</w:t>
      </w:r>
      <w:r>
        <w:rPr>
          <w:rFonts w:ascii="Calibri" w:eastAsia="Malgun Gothic" w:hAnsi="Calibri" w:cs="Batang"/>
          <w:lang w:val="en-GB" w:eastAsia="ko-KR"/>
        </w:rPr>
        <w:t xml:space="preserve"> an inefficient way of supporting </w:t>
      </w:r>
      <w:r w:rsidR="0051706A">
        <w:rPr>
          <w:rFonts w:ascii="Calibri" w:eastAsia="Malgun Gothic" w:hAnsi="Calibri" w:cs="Batang"/>
          <w:lang w:val="en-GB" w:eastAsia="ko-KR"/>
        </w:rPr>
        <w:t xml:space="preserve">full migration. Alt2 on the other hand, is defined with two logical DUs using the same physical resources. If this can be made to work, it is a much more resource efficient alternative compared to Alt1. However, as was discussed in Reply LSs from RAN1 and RAN2, </w:t>
      </w:r>
      <w:r w:rsidR="00ED7213">
        <w:rPr>
          <w:rFonts w:ascii="Calibri" w:eastAsia="Malgun Gothic" w:hAnsi="Calibri" w:cs="Batang"/>
          <w:lang w:val="en-GB" w:eastAsia="ko-KR"/>
        </w:rPr>
        <w:t xml:space="preserve">depending upon exactly how Alt2 is defined, and depending upon the number RRC_CONNECTED UEs at the time of full migration, Alt2 has the potential to generate a large number of handovers in a short period of time causing </w:t>
      </w:r>
      <w:r w:rsidR="002C1B50">
        <w:rPr>
          <w:rFonts w:ascii="Calibri" w:eastAsia="Malgun Gothic" w:hAnsi="Calibri" w:cs="Batang"/>
          <w:lang w:val="en-GB" w:eastAsia="ko-KR"/>
        </w:rPr>
        <w:t xml:space="preserve">heavy </w:t>
      </w:r>
      <w:r w:rsidR="00ED7213">
        <w:rPr>
          <w:rFonts w:ascii="Calibri" w:eastAsia="Malgun Gothic" w:hAnsi="Calibri" w:cs="Batang"/>
          <w:lang w:val="en-GB" w:eastAsia="ko-KR"/>
        </w:rPr>
        <w:t>congestion on the RACH and RRC signalling.</w:t>
      </w:r>
    </w:p>
    <w:p w14:paraId="45C059E1" w14:textId="14BA8450" w:rsidR="00ED7213" w:rsidRDefault="00ED7213" w:rsidP="00ED7213">
      <w:pPr>
        <w:spacing w:before="0"/>
        <w:rPr>
          <w:rFonts w:ascii="Calibri" w:eastAsia="Malgun Gothic" w:hAnsi="Calibri" w:cs="Batang"/>
          <w:lang w:val="en-GB" w:eastAsia="ko-KR"/>
        </w:rPr>
      </w:pPr>
      <w:r>
        <w:rPr>
          <w:rFonts w:ascii="Calibri" w:eastAsia="Malgun Gothic" w:hAnsi="Calibri" w:cs="Batang"/>
          <w:lang w:val="en-GB" w:eastAsia="ko-KR"/>
        </w:rPr>
        <w:t xml:space="preserve">It is evident that there are desirable characteristics of both Alt1 and Alt2, but there are also certain issues with each alternative. In an attempt to help drive consensus across proponents of these alternatives, this contribution presents a harmonized </w:t>
      </w:r>
      <w:r w:rsidR="00EE5CBB">
        <w:rPr>
          <w:rFonts w:ascii="Calibri" w:eastAsia="Malgun Gothic" w:hAnsi="Calibri" w:cs="Batang"/>
          <w:lang w:val="en-GB" w:eastAsia="ko-KR"/>
        </w:rPr>
        <w:t>proposa</w:t>
      </w:r>
      <w:r w:rsidR="007D4440">
        <w:rPr>
          <w:rFonts w:ascii="Calibri" w:eastAsia="Malgun Gothic" w:hAnsi="Calibri" w:cs="Batang"/>
          <w:lang w:val="en-GB" w:eastAsia="ko-KR"/>
        </w:rPr>
        <w:t>l, which</w:t>
      </w:r>
      <w:r>
        <w:rPr>
          <w:rFonts w:ascii="Calibri" w:eastAsia="Malgun Gothic" w:hAnsi="Calibri" w:cs="Batang"/>
          <w:lang w:val="en-GB" w:eastAsia="ko-KR"/>
        </w:rPr>
        <w:t xml:space="preserve"> allows operator</w:t>
      </w:r>
      <w:r w:rsidR="007D4440">
        <w:rPr>
          <w:rFonts w:ascii="Calibri" w:eastAsia="Malgun Gothic" w:hAnsi="Calibri" w:cs="Batang"/>
          <w:lang w:val="en-GB" w:eastAsia="ko-KR"/>
        </w:rPr>
        <w:t>s</w:t>
      </w:r>
      <w:r>
        <w:rPr>
          <w:rFonts w:ascii="Calibri" w:eastAsia="Malgun Gothic" w:hAnsi="Calibri" w:cs="Batang"/>
          <w:lang w:val="en-GB" w:eastAsia="ko-KR"/>
        </w:rPr>
        <w:t xml:space="preserve"> to take advantage of desirable characteristics of both alternatives while ameliorating the issues. </w:t>
      </w:r>
    </w:p>
    <w:p w14:paraId="088687BC" w14:textId="602CB9C2" w:rsidR="004A7002" w:rsidRDefault="00826E35"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Harmonized proposal for Alt1 and Alt2</w:t>
      </w:r>
    </w:p>
    <w:p w14:paraId="5EF22FBB" w14:textId="645965A0" w:rsidR="009842C1" w:rsidRDefault="00E27849" w:rsidP="00D813F8">
      <w:pPr>
        <w:spacing w:before="240" w:after="240"/>
        <w:rPr>
          <w:rFonts w:ascii="Calibri" w:eastAsia="Malgun Gothic" w:hAnsi="Calibri" w:cs="Batang"/>
          <w:lang w:val="en-GB" w:eastAsia="ko-KR"/>
        </w:rPr>
      </w:pPr>
      <w:r>
        <w:rPr>
          <w:rFonts w:ascii="Calibri" w:eastAsia="Malgun Gothic" w:hAnsi="Calibri" w:cs="Batang"/>
          <w:lang w:val="en-GB" w:eastAsia="ko-KR"/>
        </w:rPr>
        <w:t xml:space="preserve">After looking closely at Alt1 and Alt2 we realized that these two alternatives do not need to be treated in a mutually exclusive </w:t>
      </w:r>
      <w:r w:rsidR="00A64116">
        <w:rPr>
          <w:rFonts w:ascii="Calibri" w:eastAsia="Malgun Gothic" w:hAnsi="Calibri" w:cs="Batang"/>
          <w:lang w:val="en-GB" w:eastAsia="ko-KR"/>
        </w:rPr>
        <w:t>manner</w:t>
      </w:r>
      <w:r>
        <w:rPr>
          <w:rFonts w:ascii="Calibri" w:eastAsia="Malgun Gothic" w:hAnsi="Calibri" w:cs="Batang"/>
          <w:lang w:val="en-GB" w:eastAsia="ko-KR"/>
        </w:rPr>
        <w:t>. There are existing NR features that can be leveraged to mitigate Alt2 issues</w:t>
      </w:r>
      <w:r w:rsidR="009842C1">
        <w:rPr>
          <w:rFonts w:ascii="Calibri" w:eastAsia="Malgun Gothic" w:hAnsi="Calibri" w:cs="Batang"/>
          <w:lang w:val="en-GB" w:eastAsia="ko-KR"/>
        </w:rPr>
        <w:t xml:space="preserve"> such that </w:t>
      </w:r>
      <w:r w:rsidR="00A64116">
        <w:rPr>
          <w:rFonts w:ascii="Calibri" w:eastAsia="Malgun Gothic" w:hAnsi="Calibri" w:cs="Batang"/>
          <w:lang w:val="en-GB" w:eastAsia="ko-KR"/>
        </w:rPr>
        <w:t>depending upon the needs of the deployment scenario either</w:t>
      </w:r>
      <w:r w:rsidR="009842C1">
        <w:rPr>
          <w:rFonts w:ascii="Calibri" w:eastAsia="Malgun Gothic" w:hAnsi="Calibri" w:cs="Batang"/>
          <w:lang w:val="en-GB" w:eastAsia="ko-KR"/>
        </w:rPr>
        <w:t xml:space="preserve"> Alt1 or Alt2 </w:t>
      </w:r>
      <w:r w:rsidR="00607CF4">
        <w:rPr>
          <w:rFonts w:ascii="Calibri" w:eastAsia="Malgun Gothic" w:hAnsi="Calibri" w:cs="Batang"/>
          <w:lang w:val="en-GB" w:eastAsia="ko-KR"/>
        </w:rPr>
        <w:t xml:space="preserve">or a blend of the two </w:t>
      </w:r>
      <w:r w:rsidR="009842C1">
        <w:rPr>
          <w:rFonts w:ascii="Calibri" w:eastAsia="Malgun Gothic" w:hAnsi="Calibri" w:cs="Batang"/>
          <w:lang w:val="en-GB" w:eastAsia="ko-KR"/>
        </w:rPr>
        <w:t>can be used to leverage benefits of both</w:t>
      </w:r>
      <w:r w:rsidR="00F70720">
        <w:rPr>
          <w:rFonts w:ascii="Calibri" w:eastAsia="Malgun Gothic" w:hAnsi="Calibri" w:cs="Batang"/>
          <w:lang w:val="en-GB" w:eastAsia="ko-KR"/>
        </w:rPr>
        <w:t xml:space="preserve"> solutions</w:t>
      </w:r>
      <w:r>
        <w:rPr>
          <w:rFonts w:ascii="Calibri" w:eastAsia="Malgun Gothic" w:hAnsi="Calibri" w:cs="Batang"/>
          <w:lang w:val="en-GB" w:eastAsia="ko-KR"/>
        </w:rPr>
        <w:t xml:space="preserve">. </w:t>
      </w:r>
      <w:r w:rsidR="009842C1">
        <w:rPr>
          <w:rFonts w:ascii="Calibri" w:eastAsia="Malgun Gothic" w:hAnsi="Calibri" w:cs="Batang"/>
          <w:lang w:val="en-GB" w:eastAsia="ko-KR"/>
        </w:rPr>
        <w:t>This section further explains this harmonized proposal.</w:t>
      </w:r>
    </w:p>
    <w:p w14:paraId="0CF02056" w14:textId="13E0E92A" w:rsidR="001556D7" w:rsidRDefault="001556D7" w:rsidP="00D813F8">
      <w:pPr>
        <w:spacing w:before="240" w:after="240"/>
        <w:rPr>
          <w:rFonts w:ascii="Calibri" w:eastAsia="Malgun Gothic" w:hAnsi="Calibri" w:cs="Batang"/>
          <w:lang w:val="en-GB" w:eastAsia="ko-KR"/>
        </w:rPr>
      </w:pPr>
      <w:r>
        <w:rPr>
          <w:rFonts w:ascii="Calibri" w:eastAsia="Malgun Gothic" w:hAnsi="Calibri" w:cs="Batang"/>
          <w:lang w:val="en-GB" w:eastAsia="ko-KR"/>
        </w:rPr>
        <w:t xml:space="preserve">As indicated in the Reply LSs [1-3], </w:t>
      </w:r>
      <w:r w:rsidR="00E27849" w:rsidRPr="00E27849">
        <w:rPr>
          <w:rFonts w:ascii="Calibri" w:eastAsia="Malgun Gothic" w:hAnsi="Calibri" w:cs="Batang"/>
          <w:lang w:val="en-GB" w:eastAsia="ko-KR"/>
        </w:rPr>
        <w:t>Alt1 is a feasible solution for managing resources at the child node during migration</w:t>
      </w:r>
      <w:r w:rsidR="00E27849">
        <w:rPr>
          <w:rFonts w:ascii="Calibri" w:eastAsia="Malgun Gothic" w:hAnsi="Calibri" w:cs="Batang"/>
          <w:lang w:val="en-GB" w:eastAsia="ko-KR"/>
        </w:rPr>
        <w:t>,</w:t>
      </w:r>
      <w:r w:rsidR="00E27849" w:rsidRPr="00E27849">
        <w:rPr>
          <w:rFonts w:ascii="Calibri" w:eastAsia="Malgun Gothic" w:hAnsi="Calibri" w:cs="Batang"/>
          <w:lang w:val="en-GB" w:eastAsia="ko-KR"/>
        </w:rPr>
        <w:t xml:space="preserve"> and reuses legacy handover procedures without any descendent IAB node or access UE impact</w:t>
      </w:r>
      <w:r w:rsidR="00F70720">
        <w:rPr>
          <w:rFonts w:ascii="Calibri" w:eastAsia="Malgun Gothic" w:hAnsi="Calibri" w:cs="Batang"/>
          <w:lang w:val="en-GB" w:eastAsia="ko-KR"/>
        </w:rPr>
        <w:t>. However,</w:t>
      </w:r>
      <w:r w:rsidR="00E27849" w:rsidRPr="00E27849">
        <w:rPr>
          <w:rFonts w:ascii="Calibri" w:eastAsia="Malgun Gothic" w:hAnsi="Calibri" w:cs="Batang"/>
          <w:lang w:val="en-GB" w:eastAsia="ko-KR"/>
        </w:rPr>
        <w:t xml:space="preserve"> </w:t>
      </w:r>
      <w:r w:rsidR="00F70720">
        <w:rPr>
          <w:rFonts w:ascii="Calibri" w:eastAsia="Malgun Gothic" w:hAnsi="Calibri" w:cs="Batang"/>
          <w:lang w:val="en-GB" w:eastAsia="ko-KR"/>
        </w:rPr>
        <w:t>in certain deployment scenarios</w:t>
      </w:r>
      <w:r>
        <w:rPr>
          <w:rFonts w:ascii="Calibri" w:eastAsia="Malgun Gothic" w:hAnsi="Calibri" w:cs="Batang"/>
          <w:lang w:val="en-GB" w:eastAsia="ko-KR"/>
        </w:rPr>
        <w:t xml:space="preserve"> where spectrum availability may be constrained due to various reasons</w:t>
      </w:r>
      <w:r w:rsidR="00F70720">
        <w:rPr>
          <w:rFonts w:ascii="Calibri" w:eastAsia="Malgun Gothic" w:hAnsi="Calibri" w:cs="Batang"/>
          <w:lang w:val="en-GB" w:eastAsia="ko-KR"/>
        </w:rPr>
        <w:t>,</w:t>
      </w:r>
      <w:r w:rsidR="00E27849" w:rsidRPr="00E27849">
        <w:rPr>
          <w:rFonts w:ascii="Calibri" w:eastAsia="Malgun Gothic" w:hAnsi="Calibri" w:cs="Batang"/>
          <w:lang w:val="en-GB" w:eastAsia="ko-KR"/>
        </w:rPr>
        <w:t xml:space="preserve"> </w:t>
      </w:r>
      <w:r>
        <w:rPr>
          <w:rFonts w:ascii="Calibri" w:eastAsia="Malgun Gothic" w:hAnsi="Calibri" w:cs="Batang"/>
          <w:lang w:val="en-GB" w:eastAsia="ko-KR"/>
        </w:rPr>
        <w:t>Alt1 is the</w:t>
      </w:r>
      <w:r w:rsidR="00E27849" w:rsidRPr="00E27849">
        <w:rPr>
          <w:rFonts w:ascii="Calibri" w:eastAsia="Malgun Gothic" w:hAnsi="Calibri" w:cs="Batang"/>
          <w:lang w:val="en-GB" w:eastAsia="ko-KR"/>
        </w:rPr>
        <w:t xml:space="preserve"> poorer alternative </w:t>
      </w:r>
      <w:r w:rsidR="00D47BCE">
        <w:rPr>
          <w:rFonts w:ascii="Calibri" w:eastAsia="Malgun Gothic" w:hAnsi="Calibri" w:cs="Batang"/>
          <w:lang w:val="en-GB" w:eastAsia="ko-KR"/>
        </w:rPr>
        <w:t xml:space="preserve">for an operator </w:t>
      </w:r>
      <w:r w:rsidR="00F70720">
        <w:rPr>
          <w:rFonts w:ascii="Calibri" w:eastAsia="Malgun Gothic" w:hAnsi="Calibri" w:cs="Batang"/>
          <w:lang w:val="en-GB" w:eastAsia="ko-KR"/>
        </w:rPr>
        <w:t>because dividing radio resources in a given cell into two parts to support migration o</w:t>
      </w:r>
      <w:r>
        <w:rPr>
          <w:rFonts w:ascii="Calibri" w:eastAsia="Malgun Gothic" w:hAnsi="Calibri" w:cs="Batang"/>
          <w:lang w:val="en-GB" w:eastAsia="ko-KR"/>
        </w:rPr>
        <w:t>f</w:t>
      </w:r>
      <w:r w:rsidR="00F70720">
        <w:rPr>
          <w:rFonts w:ascii="Calibri" w:eastAsia="Malgun Gothic" w:hAnsi="Calibri" w:cs="Batang"/>
          <w:lang w:val="en-GB" w:eastAsia="ko-KR"/>
        </w:rPr>
        <w:t xml:space="preserve"> devices negatively affect</w:t>
      </w:r>
      <w:r>
        <w:rPr>
          <w:rFonts w:ascii="Calibri" w:eastAsia="Malgun Gothic" w:hAnsi="Calibri" w:cs="Batang"/>
          <w:lang w:val="en-GB" w:eastAsia="ko-KR"/>
        </w:rPr>
        <w:t>s</w:t>
      </w:r>
      <w:r w:rsidR="00F70720">
        <w:rPr>
          <w:rFonts w:ascii="Calibri" w:eastAsia="Malgun Gothic" w:hAnsi="Calibri" w:cs="Batang"/>
          <w:lang w:val="en-GB" w:eastAsia="ko-KR"/>
        </w:rPr>
        <w:t xml:space="preserve"> </w:t>
      </w:r>
      <w:r>
        <w:rPr>
          <w:rFonts w:ascii="Calibri" w:eastAsia="Malgun Gothic" w:hAnsi="Calibri" w:cs="Batang"/>
          <w:lang w:val="en-GB" w:eastAsia="ko-KR"/>
        </w:rPr>
        <w:t>n</w:t>
      </w:r>
      <w:r w:rsidR="00E27849" w:rsidRPr="00E27849">
        <w:rPr>
          <w:rFonts w:ascii="Calibri" w:eastAsia="Malgun Gothic" w:hAnsi="Calibri" w:cs="Batang"/>
          <w:lang w:val="en-GB" w:eastAsia="ko-KR"/>
        </w:rPr>
        <w:t>etwork capacity and user experience</w:t>
      </w:r>
      <w:r>
        <w:rPr>
          <w:rFonts w:ascii="Calibri" w:eastAsia="Malgun Gothic" w:hAnsi="Calibri" w:cs="Batang"/>
          <w:lang w:val="en-GB" w:eastAsia="ko-KR"/>
        </w:rPr>
        <w:t>, which</w:t>
      </w:r>
      <w:r w:rsidR="00E27849" w:rsidRPr="00E27849">
        <w:rPr>
          <w:rFonts w:ascii="Calibri" w:eastAsia="Malgun Gothic" w:hAnsi="Calibri" w:cs="Batang"/>
          <w:lang w:val="en-GB" w:eastAsia="ko-KR"/>
        </w:rPr>
        <w:t xml:space="preserve"> are two key KPIs of great importance to an operator. </w:t>
      </w:r>
      <w:r w:rsidR="00F70720">
        <w:rPr>
          <w:rFonts w:ascii="Calibri" w:eastAsia="Malgun Gothic" w:hAnsi="Calibri" w:cs="Batang"/>
          <w:lang w:val="en-GB" w:eastAsia="ko-KR"/>
        </w:rPr>
        <w:t>I</w:t>
      </w:r>
      <w:r w:rsidR="009842C1">
        <w:rPr>
          <w:rFonts w:ascii="Calibri" w:eastAsia="Malgun Gothic" w:hAnsi="Calibri" w:cs="Batang"/>
          <w:lang w:val="en-GB" w:eastAsia="ko-KR"/>
        </w:rPr>
        <w:t xml:space="preserve">n </w:t>
      </w:r>
      <w:r>
        <w:rPr>
          <w:rFonts w:ascii="Calibri" w:eastAsia="Malgun Gothic" w:hAnsi="Calibri" w:cs="Batang"/>
          <w:lang w:val="en-GB" w:eastAsia="ko-KR"/>
        </w:rPr>
        <w:t>such</w:t>
      </w:r>
      <w:r w:rsidR="009842C1">
        <w:rPr>
          <w:rFonts w:ascii="Calibri" w:eastAsia="Malgun Gothic" w:hAnsi="Calibri" w:cs="Batang"/>
          <w:lang w:val="en-GB" w:eastAsia="ko-KR"/>
        </w:rPr>
        <w:t xml:space="preserve"> deployment scenarios</w:t>
      </w:r>
      <w:r w:rsidR="00E27849" w:rsidRPr="00E27849">
        <w:rPr>
          <w:rFonts w:ascii="Calibri" w:eastAsia="Malgun Gothic" w:hAnsi="Calibri" w:cs="Batang"/>
          <w:lang w:val="en-GB" w:eastAsia="ko-KR"/>
        </w:rPr>
        <w:t>, Alt</w:t>
      </w:r>
      <w:r w:rsidR="009842C1">
        <w:rPr>
          <w:rFonts w:ascii="Calibri" w:eastAsia="Malgun Gothic" w:hAnsi="Calibri" w:cs="Batang"/>
          <w:lang w:val="en-GB" w:eastAsia="ko-KR"/>
        </w:rPr>
        <w:t>2 capability</w:t>
      </w:r>
      <w:r w:rsidR="00E27849" w:rsidRPr="00E27849">
        <w:rPr>
          <w:rFonts w:ascii="Calibri" w:eastAsia="Malgun Gothic" w:hAnsi="Calibri" w:cs="Batang"/>
          <w:lang w:val="en-GB" w:eastAsia="ko-KR"/>
        </w:rPr>
        <w:t xml:space="preserve"> may be preferred to enable more dynamic utilization of the spectrum which will result in minimization of user experience for access UEs and higher performance on the backhaul link itself.</w:t>
      </w:r>
      <w:r w:rsidR="009842C1">
        <w:rPr>
          <w:rFonts w:ascii="Calibri" w:eastAsia="Malgun Gothic" w:hAnsi="Calibri" w:cs="Batang"/>
          <w:lang w:val="en-GB" w:eastAsia="ko-KR"/>
        </w:rPr>
        <w:t xml:space="preserve"> </w:t>
      </w:r>
      <w:r w:rsidR="00B510B8" w:rsidRPr="00E27849">
        <w:rPr>
          <w:rFonts w:ascii="Calibri" w:eastAsia="Malgun Gothic" w:hAnsi="Calibri" w:cs="Batang"/>
          <w:lang w:val="en-GB" w:eastAsia="ko-KR"/>
        </w:rPr>
        <w:t>Especially for IAB nodes operating in mmWave spectrum, beam management and interference management techniques may be beneficial to support Alt2.</w:t>
      </w:r>
      <w:r w:rsidR="00B510B8">
        <w:rPr>
          <w:rFonts w:ascii="Calibri" w:eastAsia="Malgun Gothic" w:hAnsi="Calibri" w:cs="Batang"/>
          <w:lang w:val="en-GB" w:eastAsia="ko-KR"/>
        </w:rPr>
        <w:t xml:space="preserve"> </w:t>
      </w:r>
      <w:r w:rsidR="001810ED">
        <w:rPr>
          <w:rFonts w:ascii="Calibri" w:eastAsia="Malgun Gothic" w:hAnsi="Calibri" w:cs="Batang"/>
          <w:lang w:val="en-GB" w:eastAsia="ko-KR"/>
        </w:rPr>
        <w:t xml:space="preserve">Alt2 may also be used on a temporary basis by an operator to mitigate capacity/user experience issues of Alt1 in some circumstances. </w:t>
      </w:r>
    </w:p>
    <w:p w14:paraId="5179AF53" w14:textId="3C8A27AC" w:rsidR="00281371" w:rsidRDefault="004A6098" w:rsidP="00133D59">
      <w:pPr>
        <w:spacing w:before="240" w:after="0"/>
        <w:rPr>
          <w:rFonts w:ascii="Calibri" w:eastAsia="Malgun Gothic" w:hAnsi="Calibri" w:cs="Batang"/>
          <w:lang w:val="en-GB" w:eastAsia="ko-KR"/>
        </w:rPr>
      </w:pPr>
      <w:r>
        <w:rPr>
          <w:rFonts w:ascii="Calibri" w:eastAsia="Malgun Gothic" w:hAnsi="Calibri" w:cs="Batang"/>
          <w:lang w:val="en-GB" w:eastAsia="ko-KR"/>
        </w:rPr>
        <w:t>T</w:t>
      </w:r>
      <w:r w:rsidR="002B1E1C">
        <w:rPr>
          <w:rFonts w:ascii="Calibri" w:eastAsia="Malgun Gothic" w:hAnsi="Calibri" w:cs="Batang"/>
          <w:lang w:val="en-GB" w:eastAsia="ko-KR"/>
        </w:rPr>
        <w:t>he key issues to address regarding Alt2 are</w:t>
      </w:r>
      <w:r w:rsidR="00FD58DE">
        <w:rPr>
          <w:rFonts w:ascii="Calibri" w:eastAsia="Malgun Gothic" w:hAnsi="Calibri" w:cs="Batang"/>
          <w:lang w:val="en-GB" w:eastAsia="ko-KR"/>
        </w:rPr>
        <w:t>:</w:t>
      </w:r>
    </w:p>
    <w:p w14:paraId="589D81DD" w14:textId="1B20B2F9" w:rsidR="00281371" w:rsidRDefault="00281371" w:rsidP="00FD58DE">
      <w:pPr>
        <w:pStyle w:val="ListParagraph"/>
        <w:numPr>
          <w:ilvl w:val="0"/>
          <w:numId w:val="36"/>
        </w:numPr>
        <w:spacing w:before="0" w:after="240"/>
        <w:rPr>
          <w:rFonts w:ascii="Calibri" w:eastAsia="Malgun Gothic" w:hAnsi="Calibri" w:cs="Batang"/>
          <w:lang w:val="en-GB" w:eastAsia="ko-KR"/>
        </w:rPr>
      </w:pPr>
      <w:r>
        <w:rPr>
          <w:rFonts w:ascii="Calibri" w:eastAsia="Malgun Gothic" w:hAnsi="Calibri" w:cs="Batang"/>
          <w:lang w:val="en-GB" w:eastAsia="ko-KR"/>
        </w:rPr>
        <w:t>T</w:t>
      </w:r>
      <w:r w:rsidR="00E27849" w:rsidRPr="00281371">
        <w:rPr>
          <w:rFonts w:ascii="Calibri" w:eastAsia="Malgun Gothic" w:hAnsi="Calibri" w:cs="Batang"/>
          <w:lang w:val="en-GB" w:eastAsia="ko-KR"/>
        </w:rPr>
        <w:t>he sharing of physical resources across the logical child DU</w:t>
      </w:r>
      <w:r w:rsidR="004A6098">
        <w:rPr>
          <w:rFonts w:ascii="Calibri" w:eastAsia="Malgun Gothic" w:hAnsi="Calibri" w:cs="Batang"/>
          <w:lang w:val="en-GB" w:eastAsia="ko-KR"/>
        </w:rPr>
        <w:t>s</w:t>
      </w:r>
      <w:r w:rsidR="00E27849" w:rsidRPr="00281371">
        <w:rPr>
          <w:rFonts w:ascii="Calibri" w:eastAsia="Malgun Gothic" w:hAnsi="Calibri" w:cs="Batang"/>
          <w:lang w:val="en-GB" w:eastAsia="ko-KR"/>
        </w:rPr>
        <w:t xml:space="preserve"> may result in interference or conflicts in the configuration of cell-specific signals/channels</w:t>
      </w:r>
      <w:r w:rsidR="002B1E1C" w:rsidRPr="00281371">
        <w:rPr>
          <w:rFonts w:ascii="Calibri" w:eastAsia="Malgun Gothic" w:hAnsi="Calibri" w:cs="Batang"/>
          <w:lang w:val="en-GB" w:eastAsia="ko-KR"/>
        </w:rPr>
        <w:t>,</w:t>
      </w:r>
      <w:r w:rsidR="00E27849" w:rsidRPr="00281371">
        <w:rPr>
          <w:rFonts w:ascii="Calibri" w:eastAsia="Malgun Gothic" w:hAnsi="Calibri" w:cs="Batang"/>
          <w:lang w:val="en-GB" w:eastAsia="ko-KR"/>
        </w:rPr>
        <w:t xml:space="preserve"> which are used on the access links of </w:t>
      </w:r>
      <w:r w:rsidR="00A64116" w:rsidRPr="00281371">
        <w:rPr>
          <w:rFonts w:ascii="Calibri" w:eastAsia="Malgun Gothic" w:hAnsi="Calibri" w:cs="Batang"/>
          <w:lang w:val="en-GB" w:eastAsia="ko-KR"/>
        </w:rPr>
        <w:t>the two logical DUs</w:t>
      </w:r>
      <w:r w:rsidR="00E27849" w:rsidRPr="00281371">
        <w:rPr>
          <w:rFonts w:ascii="Calibri" w:eastAsia="Malgun Gothic" w:hAnsi="Calibri" w:cs="Batang"/>
          <w:lang w:val="en-GB" w:eastAsia="ko-KR"/>
        </w:rPr>
        <w:t xml:space="preserve">. </w:t>
      </w:r>
    </w:p>
    <w:p w14:paraId="5530A359" w14:textId="23957B04" w:rsidR="00FD58DE" w:rsidRDefault="002B1E1C" w:rsidP="00281371">
      <w:pPr>
        <w:pStyle w:val="ListParagraph"/>
        <w:numPr>
          <w:ilvl w:val="0"/>
          <w:numId w:val="36"/>
        </w:numPr>
        <w:spacing w:before="240" w:after="240"/>
        <w:rPr>
          <w:rFonts w:ascii="Calibri" w:eastAsia="Malgun Gothic" w:hAnsi="Calibri" w:cs="Batang"/>
          <w:lang w:val="en-GB" w:eastAsia="ko-KR"/>
        </w:rPr>
      </w:pPr>
      <w:r w:rsidRPr="00281371">
        <w:rPr>
          <w:rFonts w:ascii="Calibri" w:eastAsia="Malgun Gothic" w:hAnsi="Calibri" w:cs="Batang"/>
          <w:lang w:val="en-GB" w:eastAsia="ko-KR"/>
        </w:rPr>
        <w:t xml:space="preserve">Alt2 may require potentially large number of UEs to </w:t>
      </w:r>
      <w:r w:rsidR="00607CF4">
        <w:rPr>
          <w:rFonts w:ascii="Calibri" w:eastAsia="Malgun Gothic" w:hAnsi="Calibri" w:cs="Batang"/>
          <w:lang w:val="en-GB" w:eastAsia="ko-KR"/>
        </w:rPr>
        <w:t xml:space="preserve">perform </w:t>
      </w:r>
      <w:r w:rsidRPr="00281371">
        <w:rPr>
          <w:rFonts w:ascii="Calibri" w:eastAsia="Malgun Gothic" w:hAnsi="Calibri" w:cs="Batang"/>
          <w:lang w:val="en-GB" w:eastAsia="ko-KR"/>
        </w:rPr>
        <w:t>handover from one logical DU to another</w:t>
      </w:r>
      <w:r w:rsidR="00C232EA" w:rsidRPr="00281371">
        <w:rPr>
          <w:rFonts w:ascii="Calibri" w:eastAsia="Malgun Gothic" w:hAnsi="Calibri" w:cs="Batang"/>
          <w:lang w:val="en-GB" w:eastAsia="ko-KR"/>
        </w:rPr>
        <w:t xml:space="preserve"> in a short amount of time</w:t>
      </w:r>
      <w:r w:rsidRPr="00281371">
        <w:rPr>
          <w:rFonts w:ascii="Calibri" w:eastAsia="Malgun Gothic" w:hAnsi="Calibri" w:cs="Batang"/>
          <w:lang w:val="en-GB" w:eastAsia="ko-KR"/>
        </w:rPr>
        <w:t xml:space="preserve">, </w:t>
      </w:r>
      <w:r w:rsidR="00FD58DE">
        <w:rPr>
          <w:rFonts w:ascii="Calibri" w:eastAsia="Malgun Gothic" w:hAnsi="Calibri" w:cs="Batang"/>
          <w:lang w:val="en-GB" w:eastAsia="ko-KR"/>
        </w:rPr>
        <w:t>thereby generating</w:t>
      </w:r>
      <w:r w:rsidRPr="00281371">
        <w:rPr>
          <w:rFonts w:ascii="Calibri" w:eastAsia="Malgun Gothic" w:hAnsi="Calibri" w:cs="Batang"/>
          <w:lang w:val="en-GB" w:eastAsia="ko-KR"/>
        </w:rPr>
        <w:t xml:space="preserve"> significant amoun</w:t>
      </w:r>
      <w:r w:rsidR="000E4808" w:rsidRPr="00281371">
        <w:rPr>
          <w:rFonts w:ascii="Calibri" w:eastAsia="Malgun Gothic" w:hAnsi="Calibri" w:cs="Batang"/>
          <w:lang w:val="en-GB" w:eastAsia="ko-KR"/>
        </w:rPr>
        <w:t xml:space="preserve">t of handover-related signalling. </w:t>
      </w:r>
    </w:p>
    <w:p w14:paraId="04643F42" w14:textId="51CE3F4D" w:rsidR="00FD58DE" w:rsidRDefault="00FD58DE" w:rsidP="00A64116">
      <w:pPr>
        <w:spacing w:before="240" w:after="240"/>
        <w:rPr>
          <w:rFonts w:ascii="Calibri" w:eastAsia="Malgun Gothic" w:hAnsi="Calibri" w:cs="Batang"/>
          <w:lang w:val="en-GB" w:eastAsia="ko-KR"/>
        </w:rPr>
      </w:pPr>
      <w:r>
        <w:rPr>
          <w:rFonts w:ascii="Calibri" w:eastAsia="Malgun Gothic" w:hAnsi="Calibri" w:cs="Batang"/>
          <w:lang w:val="en-GB" w:eastAsia="ko-KR"/>
        </w:rPr>
        <w:t>T</w:t>
      </w:r>
      <w:r w:rsidR="00C232EA">
        <w:rPr>
          <w:rFonts w:ascii="Calibri" w:eastAsia="Malgun Gothic" w:hAnsi="Calibri" w:cs="Batang"/>
          <w:lang w:val="en-GB" w:eastAsia="ko-KR"/>
        </w:rPr>
        <w:t>he issue of large number of handovers and resulting RACH and RRC signalling congestion is caused mainly by the assumption that</w:t>
      </w:r>
      <w:r w:rsidR="00281371">
        <w:rPr>
          <w:rFonts w:ascii="Calibri" w:eastAsia="Malgun Gothic" w:hAnsi="Calibri" w:cs="Batang"/>
          <w:lang w:val="en-GB" w:eastAsia="ko-KR"/>
        </w:rPr>
        <w:t xml:space="preserve"> in Alt2, cell1 and cell2 entirely use one set of shared resources</w:t>
      </w:r>
      <w:r>
        <w:rPr>
          <w:rFonts w:ascii="Calibri" w:eastAsia="Malgun Gothic" w:hAnsi="Calibri" w:cs="Batang"/>
          <w:lang w:val="en-GB" w:eastAsia="ko-KR"/>
        </w:rPr>
        <w:t xml:space="preserve">. </w:t>
      </w:r>
      <w:r w:rsidR="00281371">
        <w:rPr>
          <w:rFonts w:ascii="Calibri" w:eastAsia="Malgun Gothic" w:hAnsi="Calibri" w:cs="Batang"/>
          <w:lang w:val="en-GB" w:eastAsia="ko-KR"/>
        </w:rPr>
        <w:t xml:space="preserve"> </w:t>
      </w:r>
      <w:r>
        <w:rPr>
          <w:rFonts w:ascii="Calibri" w:eastAsia="Malgun Gothic" w:hAnsi="Calibri" w:cs="Batang"/>
          <w:lang w:val="en-GB" w:eastAsia="ko-KR"/>
        </w:rPr>
        <w:t>This issue can be readily addressed within existing NR specification</w:t>
      </w:r>
      <w:r w:rsidR="00607CF4">
        <w:rPr>
          <w:rFonts w:ascii="Calibri" w:eastAsia="Malgun Gothic" w:hAnsi="Calibri" w:cs="Batang"/>
          <w:lang w:val="en-GB" w:eastAsia="ko-KR"/>
        </w:rPr>
        <w:t>s</w:t>
      </w:r>
      <w:r>
        <w:rPr>
          <w:rFonts w:ascii="Calibri" w:eastAsia="Malgun Gothic" w:hAnsi="Calibri" w:cs="Batang"/>
          <w:lang w:val="en-GB" w:eastAsia="ko-KR"/>
        </w:rPr>
        <w:t xml:space="preserve"> through the use of reserved resources, where one </w:t>
      </w:r>
      <w:r w:rsidR="00607CF4">
        <w:rPr>
          <w:rFonts w:ascii="Calibri" w:eastAsia="Malgun Gothic" w:hAnsi="Calibri" w:cs="Batang"/>
          <w:lang w:val="en-GB" w:eastAsia="ko-KR"/>
        </w:rPr>
        <w:t>sub-</w:t>
      </w:r>
      <w:r>
        <w:rPr>
          <w:rFonts w:ascii="Calibri" w:eastAsia="Malgun Gothic" w:hAnsi="Calibri" w:cs="Batang"/>
          <w:lang w:val="en-GB" w:eastAsia="ko-KR"/>
        </w:rPr>
        <w:t>set</w:t>
      </w:r>
      <w:r w:rsidR="00A64116" w:rsidRPr="00A64116">
        <w:rPr>
          <w:rFonts w:ascii="Calibri" w:eastAsia="Malgun Gothic" w:hAnsi="Calibri" w:cs="Batang"/>
          <w:lang w:val="en-GB" w:eastAsia="ko-KR"/>
        </w:rPr>
        <w:t xml:space="preserve"> of resources </w:t>
      </w:r>
      <w:r w:rsidR="002A4852">
        <w:rPr>
          <w:rFonts w:ascii="Calibri" w:eastAsia="Malgun Gothic" w:hAnsi="Calibri" w:cs="Batang"/>
          <w:lang w:val="en-GB" w:eastAsia="ko-KR"/>
        </w:rPr>
        <w:t xml:space="preserve">(time/frequency/spatial) </w:t>
      </w:r>
      <w:r w:rsidR="00A64116" w:rsidRPr="00A64116">
        <w:rPr>
          <w:rFonts w:ascii="Calibri" w:eastAsia="Malgun Gothic" w:hAnsi="Calibri" w:cs="Batang"/>
          <w:lang w:val="en-GB" w:eastAsia="ko-KR"/>
        </w:rPr>
        <w:t xml:space="preserve">may be reserved for </w:t>
      </w:r>
      <w:r>
        <w:rPr>
          <w:rFonts w:ascii="Calibri" w:eastAsia="Malgun Gothic" w:hAnsi="Calibri" w:cs="Batang"/>
          <w:lang w:val="en-GB" w:eastAsia="ko-KR"/>
        </w:rPr>
        <w:t>one logical DU</w:t>
      </w:r>
      <w:r w:rsidR="00A64116" w:rsidRPr="00A64116">
        <w:rPr>
          <w:rFonts w:ascii="Calibri" w:eastAsia="Malgun Gothic" w:hAnsi="Calibri" w:cs="Batang"/>
          <w:lang w:val="en-GB" w:eastAsia="ko-KR"/>
        </w:rPr>
        <w:t xml:space="preserve"> and a second </w:t>
      </w:r>
      <w:r w:rsidR="00607CF4">
        <w:rPr>
          <w:rFonts w:ascii="Calibri" w:eastAsia="Malgun Gothic" w:hAnsi="Calibri" w:cs="Batang"/>
          <w:lang w:val="en-GB" w:eastAsia="ko-KR"/>
        </w:rPr>
        <w:t>orthogonal sub-</w:t>
      </w:r>
      <w:r w:rsidR="00A64116" w:rsidRPr="00A64116">
        <w:rPr>
          <w:rFonts w:ascii="Calibri" w:eastAsia="Malgun Gothic" w:hAnsi="Calibri" w:cs="Batang"/>
          <w:lang w:val="en-GB" w:eastAsia="ko-KR"/>
        </w:rPr>
        <w:t xml:space="preserve">set of resources may be reserved for </w:t>
      </w:r>
      <w:r>
        <w:rPr>
          <w:rFonts w:ascii="Calibri" w:eastAsia="Malgun Gothic" w:hAnsi="Calibri" w:cs="Batang"/>
          <w:lang w:val="en-GB" w:eastAsia="ko-KR"/>
        </w:rPr>
        <w:t>the other logical DU</w:t>
      </w:r>
      <w:r w:rsidR="00A64116" w:rsidRPr="00A64116">
        <w:rPr>
          <w:rFonts w:ascii="Calibri" w:eastAsia="Malgun Gothic" w:hAnsi="Calibri" w:cs="Batang"/>
          <w:lang w:val="en-GB" w:eastAsia="ko-KR"/>
        </w:rPr>
        <w:t xml:space="preserve">. </w:t>
      </w:r>
    </w:p>
    <w:p w14:paraId="2D44A13A" w14:textId="63F23E7B" w:rsidR="002A4852" w:rsidRDefault="00A64116" w:rsidP="00A64116">
      <w:pPr>
        <w:spacing w:before="240" w:after="240"/>
        <w:rPr>
          <w:rFonts w:ascii="Calibri" w:eastAsia="Malgun Gothic" w:hAnsi="Calibri" w:cs="Batang"/>
          <w:lang w:val="en-GB" w:eastAsia="ko-KR"/>
        </w:rPr>
      </w:pPr>
      <w:r w:rsidRPr="00A64116">
        <w:rPr>
          <w:rFonts w:ascii="Calibri" w:eastAsia="Malgun Gothic" w:hAnsi="Calibri" w:cs="Batang"/>
          <w:lang w:val="en-GB" w:eastAsia="ko-KR"/>
        </w:rPr>
        <w:t xml:space="preserve">These reserved resources can be used </w:t>
      </w:r>
      <w:r w:rsidR="00494868">
        <w:rPr>
          <w:rFonts w:ascii="Calibri" w:eastAsia="Malgun Gothic" w:hAnsi="Calibri" w:cs="Batang"/>
          <w:lang w:val="en-GB" w:eastAsia="ko-KR"/>
        </w:rPr>
        <w:t xml:space="preserve">by a logical DU </w:t>
      </w:r>
      <w:r w:rsidRPr="00A64116">
        <w:rPr>
          <w:rFonts w:ascii="Calibri" w:eastAsia="Malgun Gothic" w:hAnsi="Calibri" w:cs="Batang"/>
          <w:lang w:val="en-GB" w:eastAsia="ko-KR"/>
        </w:rPr>
        <w:t xml:space="preserve">for the transmission and reception of </w:t>
      </w:r>
      <w:r w:rsidR="00494868">
        <w:rPr>
          <w:rFonts w:ascii="Calibri" w:eastAsia="Malgun Gothic" w:hAnsi="Calibri" w:cs="Batang"/>
          <w:lang w:val="en-GB" w:eastAsia="ko-KR"/>
        </w:rPr>
        <w:t xml:space="preserve">its </w:t>
      </w:r>
      <w:r w:rsidRPr="00A64116">
        <w:rPr>
          <w:rFonts w:ascii="Calibri" w:eastAsia="Malgun Gothic" w:hAnsi="Calibri" w:cs="Batang"/>
          <w:lang w:val="en-GB" w:eastAsia="ko-KR"/>
        </w:rPr>
        <w:t>cell-specific or semi-statically configured signals/channels used for initial access, radio resource management, and channel state information (CSI) measurement and reporting</w:t>
      </w:r>
      <w:r w:rsidR="00FD58DE">
        <w:rPr>
          <w:rFonts w:ascii="Calibri" w:eastAsia="Malgun Gothic" w:hAnsi="Calibri" w:cs="Batang"/>
          <w:lang w:val="en-GB" w:eastAsia="ko-KR"/>
        </w:rPr>
        <w:t xml:space="preserve"> (e.g. SSB, RACH, CSI-RS, SRS)</w:t>
      </w:r>
      <w:r w:rsidRPr="00A64116">
        <w:rPr>
          <w:rFonts w:ascii="Calibri" w:eastAsia="Malgun Gothic" w:hAnsi="Calibri" w:cs="Batang"/>
          <w:lang w:val="en-GB" w:eastAsia="ko-KR"/>
        </w:rPr>
        <w:t xml:space="preserve">. </w:t>
      </w:r>
      <w:r w:rsidR="00690ACD">
        <w:rPr>
          <w:rFonts w:ascii="Calibri" w:eastAsia="Malgun Gothic" w:hAnsi="Calibri" w:cs="Batang"/>
          <w:lang w:val="en-GB" w:eastAsia="ko-KR"/>
        </w:rPr>
        <w:t xml:space="preserve">This addresses the issue described in the first bullet above. </w:t>
      </w:r>
      <w:r w:rsidRPr="00A64116">
        <w:rPr>
          <w:rFonts w:ascii="Calibri" w:eastAsia="Malgun Gothic" w:hAnsi="Calibri" w:cs="Batang"/>
          <w:lang w:val="en-GB" w:eastAsia="ko-KR"/>
        </w:rPr>
        <w:t xml:space="preserve">Given that these signals/channels are broadcast by the cell served by the IAB DU and/or semi-statically configured for descendent IAB nodes or access UEs, they are necessary for the basic operation of the link </w:t>
      </w:r>
      <w:r w:rsidR="00494868">
        <w:rPr>
          <w:rFonts w:ascii="Calibri" w:eastAsia="Malgun Gothic" w:hAnsi="Calibri" w:cs="Batang"/>
          <w:lang w:val="en-GB" w:eastAsia="ko-KR"/>
        </w:rPr>
        <w:t xml:space="preserve">during the migration </w:t>
      </w:r>
      <w:r w:rsidRPr="00A64116">
        <w:rPr>
          <w:rFonts w:ascii="Calibri" w:eastAsia="Malgun Gothic" w:hAnsi="Calibri" w:cs="Batang"/>
          <w:lang w:val="en-GB" w:eastAsia="ko-KR"/>
        </w:rPr>
        <w:t xml:space="preserve">and performance is guaranteed by making them orthogonal between the two logical DUs. </w:t>
      </w:r>
    </w:p>
    <w:p w14:paraId="42C1C824" w14:textId="71F18917" w:rsidR="00FD58DE" w:rsidRDefault="00FD58DE" w:rsidP="00A64116">
      <w:pPr>
        <w:spacing w:before="240" w:after="240"/>
        <w:rPr>
          <w:rFonts w:ascii="Calibri" w:eastAsia="Malgun Gothic" w:hAnsi="Calibri" w:cs="Batang"/>
          <w:lang w:val="en-GB" w:eastAsia="ko-KR"/>
        </w:rPr>
      </w:pPr>
      <w:r w:rsidRPr="00607CF4">
        <w:rPr>
          <w:rFonts w:ascii="Calibri" w:eastAsia="Malgun Gothic" w:hAnsi="Calibri" w:cs="Batang"/>
          <w:lang w:val="en-GB" w:eastAsia="ko-KR"/>
        </w:rPr>
        <w:t>Effectively,</w:t>
      </w:r>
      <w:r w:rsidRPr="002A4852">
        <w:rPr>
          <w:rFonts w:ascii="Calibri" w:eastAsia="Malgun Gothic" w:hAnsi="Calibri" w:cs="Batang"/>
          <w:u w:val="single"/>
          <w:lang w:val="en-GB" w:eastAsia="ko-KR"/>
        </w:rPr>
        <w:t xml:space="preserve"> this creates a blended approach between Alt1 and Alt2</w:t>
      </w:r>
      <w:r>
        <w:rPr>
          <w:rFonts w:ascii="Calibri" w:eastAsia="Malgun Gothic" w:hAnsi="Calibri" w:cs="Batang"/>
          <w:lang w:val="en-GB" w:eastAsia="ko-KR"/>
        </w:rPr>
        <w:t xml:space="preserve">, where for certain critical signals/channels, the </w:t>
      </w:r>
      <w:r w:rsidR="002A4852">
        <w:rPr>
          <w:rFonts w:ascii="Calibri" w:eastAsia="Malgun Gothic" w:hAnsi="Calibri" w:cs="Batang"/>
          <w:lang w:val="en-GB" w:eastAsia="ko-KR"/>
        </w:rPr>
        <w:t xml:space="preserve">two logical DUs use separate resources, while the remaining resources are shared between the two logical DUs. </w:t>
      </w:r>
    </w:p>
    <w:p w14:paraId="0C3A1C5B" w14:textId="1D10B731" w:rsidR="00133D59" w:rsidRDefault="00A64116" w:rsidP="000E15A0">
      <w:pPr>
        <w:spacing w:before="240" w:after="0"/>
        <w:rPr>
          <w:rFonts w:ascii="Calibri" w:eastAsia="Malgun Gothic" w:hAnsi="Calibri" w:cs="Batang"/>
          <w:lang w:val="en-GB" w:eastAsia="ko-KR"/>
        </w:rPr>
      </w:pPr>
      <w:r w:rsidRPr="00A64116">
        <w:rPr>
          <w:rFonts w:ascii="Calibri" w:eastAsia="Malgun Gothic" w:hAnsi="Calibri" w:cs="Batang"/>
          <w:lang w:val="en-GB" w:eastAsia="ko-KR"/>
        </w:rPr>
        <w:t xml:space="preserve">The </w:t>
      </w:r>
      <w:r w:rsidR="00494868">
        <w:rPr>
          <w:rFonts w:ascii="Calibri" w:eastAsia="Malgun Gothic" w:hAnsi="Calibri" w:cs="Batang"/>
          <w:lang w:val="en-GB" w:eastAsia="ko-KR"/>
        </w:rPr>
        <w:t xml:space="preserve">initial </w:t>
      </w:r>
      <w:r w:rsidRPr="00A64116">
        <w:rPr>
          <w:rFonts w:ascii="Calibri" w:eastAsia="Malgun Gothic" w:hAnsi="Calibri" w:cs="Batang"/>
          <w:lang w:val="en-GB" w:eastAsia="ko-KR"/>
        </w:rPr>
        <w:t xml:space="preserve">partitioning </w:t>
      </w:r>
      <w:r w:rsidR="00FD58DE">
        <w:rPr>
          <w:rFonts w:ascii="Calibri" w:eastAsia="Malgun Gothic" w:hAnsi="Calibri" w:cs="Batang"/>
          <w:lang w:val="en-GB" w:eastAsia="ko-KR"/>
        </w:rPr>
        <w:t xml:space="preserve">of resources </w:t>
      </w:r>
      <w:r w:rsidRPr="00A64116">
        <w:rPr>
          <w:rFonts w:ascii="Calibri" w:eastAsia="Malgun Gothic" w:hAnsi="Calibri" w:cs="Batang"/>
          <w:lang w:val="en-GB" w:eastAsia="ko-KR"/>
        </w:rPr>
        <w:t xml:space="preserve">can be performed at the donor </w:t>
      </w:r>
      <w:r w:rsidR="00494868">
        <w:rPr>
          <w:rFonts w:ascii="Calibri" w:eastAsia="Malgun Gothic" w:hAnsi="Calibri" w:cs="Batang"/>
          <w:lang w:val="en-GB" w:eastAsia="ko-KR"/>
        </w:rPr>
        <w:t xml:space="preserve">CUs </w:t>
      </w:r>
      <w:r w:rsidRPr="00A64116">
        <w:rPr>
          <w:rFonts w:ascii="Calibri" w:eastAsia="Malgun Gothic" w:hAnsi="Calibri" w:cs="Batang"/>
          <w:lang w:val="en-GB" w:eastAsia="ko-KR"/>
        </w:rPr>
        <w:t>and communicated to the child IAB node’s logical DUs. The remaining non-partitioned</w:t>
      </w:r>
      <w:r w:rsidR="00607CF4">
        <w:rPr>
          <w:rFonts w:ascii="Calibri" w:eastAsia="Malgun Gothic" w:hAnsi="Calibri" w:cs="Batang"/>
          <w:lang w:val="en-GB" w:eastAsia="ko-KR"/>
        </w:rPr>
        <w:t xml:space="preserve"> or common</w:t>
      </w:r>
      <w:r w:rsidRPr="00A64116">
        <w:rPr>
          <w:rFonts w:ascii="Calibri" w:eastAsia="Malgun Gothic" w:hAnsi="Calibri" w:cs="Batang"/>
          <w:lang w:val="en-GB" w:eastAsia="ko-KR"/>
        </w:rPr>
        <w:t xml:space="preserve"> resources may be either shared freely between the two logical IAB DUs assuming interference issues are not a concern for system performance (e.g. using different beamforming </w:t>
      </w:r>
      <w:r w:rsidR="00494868">
        <w:rPr>
          <w:rFonts w:ascii="Calibri" w:eastAsia="Malgun Gothic" w:hAnsi="Calibri" w:cs="Batang"/>
          <w:lang w:val="en-GB" w:eastAsia="ko-KR"/>
        </w:rPr>
        <w:t xml:space="preserve">within or across antenna panels </w:t>
      </w:r>
      <w:r w:rsidRPr="00A64116">
        <w:rPr>
          <w:rFonts w:ascii="Calibri" w:eastAsia="Malgun Gothic" w:hAnsi="Calibri" w:cs="Batang"/>
          <w:lang w:val="en-GB" w:eastAsia="ko-KR"/>
        </w:rPr>
        <w:t xml:space="preserve">for </w:t>
      </w:r>
      <w:r w:rsidR="00607CF4">
        <w:rPr>
          <w:rFonts w:ascii="Calibri" w:eastAsia="Malgun Gothic" w:hAnsi="Calibri" w:cs="Batang"/>
          <w:lang w:val="en-GB" w:eastAsia="ko-KR"/>
        </w:rPr>
        <w:t>one logical DU vs. another</w:t>
      </w:r>
      <w:r w:rsidR="00A746BB" w:rsidRPr="00A64116">
        <w:rPr>
          <w:rFonts w:ascii="Calibri" w:eastAsia="Malgun Gothic" w:hAnsi="Calibri" w:cs="Batang"/>
          <w:lang w:val="en-GB" w:eastAsia="ko-KR"/>
        </w:rPr>
        <w:t>) or</w:t>
      </w:r>
      <w:r w:rsidRPr="00A64116">
        <w:rPr>
          <w:rFonts w:ascii="Calibri" w:eastAsia="Malgun Gothic" w:hAnsi="Calibri" w:cs="Batang"/>
          <w:lang w:val="en-GB" w:eastAsia="ko-KR"/>
        </w:rPr>
        <w:t xml:space="preserve"> may be dynamically partitioned between the two logical DUs</w:t>
      </w:r>
      <w:r w:rsidR="00494868">
        <w:rPr>
          <w:rFonts w:ascii="Calibri" w:eastAsia="Malgun Gothic" w:hAnsi="Calibri" w:cs="Batang"/>
          <w:lang w:val="en-GB" w:eastAsia="ko-KR"/>
        </w:rPr>
        <w:t>.</w:t>
      </w:r>
      <w:r w:rsidR="002A4852">
        <w:rPr>
          <w:rFonts w:ascii="Calibri" w:eastAsia="Malgun Gothic" w:hAnsi="Calibri" w:cs="Batang"/>
          <w:lang w:val="en-GB" w:eastAsia="ko-KR"/>
        </w:rPr>
        <w:t xml:space="preserve"> </w:t>
      </w:r>
      <w:r w:rsidR="00A746BB">
        <w:rPr>
          <w:rFonts w:ascii="Calibri" w:eastAsia="Malgun Gothic" w:hAnsi="Calibri" w:cs="Batang"/>
          <w:lang w:val="en-GB" w:eastAsia="ko-KR"/>
        </w:rPr>
        <w:t>One straightforward</w:t>
      </w:r>
      <w:r w:rsidR="00494868">
        <w:rPr>
          <w:rFonts w:ascii="Calibri" w:eastAsia="Malgun Gothic" w:hAnsi="Calibri" w:cs="Batang"/>
          <w:lang w:val="en-GB" w:eastAsia="ko-KR"/>
        </w:rPr>
        <w:t xml:space="preserve"> way to achieve this partitioning is</w:t>
      </w:r>
      <w:r w:rsidRPr="00133D59">
        <w:rPr>
          <w:rFonts w:ascii="Calibri" w:eastAsia="Malgun Gothic" w:hAnsi="Calibri" w:cs="Batang"/>
          <w:lang w:val="en-GB" w:eastAsia="ko-KR"/>
        </w:rPr>
        <w:t xml:space="preserve"> based on the assignment of </w:t>
      </w:r>
      <w:r w:rsidR="00494868">
        <w:rPr>
          <w:rFonts w:ascii="Calibri" w:eastAsia="Malgun Gothic" w:hAnsi="Calibri" w:cs="Batang"/>
          <w:lang w:val="en-GB" w:eastAsia="ko-KR"/>
        </w:rPr>
        <w:t>existing</w:t>
      </w:r>
      <w:r w:rsidRPr="00133D59">
        <w:rPr>
          <w:rFonts w:ascii="Calibri" w:eastAsia="Malgun Gothic" w:hAnsi="Calibri" w:cs="Batang"/>
          <w:lang w:val="en-GB" w:eastAsia="ko-KR"/>
        </w:rPr>
        <w:t xml:space="preserve"> </w:t>
      </w:r>
      <w:r w:rsidR="00494868">
        <w:rPr>
          <w:rFonts w:ascii="Calibri" w:eastAsia="Malgun Gothic" w:hAnsi="Calibri" w:cs="Batang"/>
          <w:lang w:val="en-GB" w:eastAsia="ko-KR"/>
        </w:rPr>
        <w:t xml:space="preserve">DU </w:t>
      </w:r>
      <w:r w:rsidRPr="00133D59">
        <w:rPr>
          <w:rFonts w:ascii="Calibri" w:eastAsia="Malgun Gothic" w:hAnsi="Calibri" w:cs="Batang"/>
          <w:lang w:val="en-GB" w:eastAsia="ko-KR"/>
        </w:rPr>
        <w:t>resource type</w:t>
      </w:r>
      <w:r w:rsidR="00494868">
        <w:rPr>
          <w:rFonts w:ascii="Calibri" w:eastAsia="Malgun Gothic" w:hAnsi="Calibri" w:cs="Batang"/>
          <w:lang w:val="en-GB" w:eastAsia="ko-KR"/>
        </w:rPr>
        <w:t>s</w:t>
      </w:r>
      <w:r w:rsidRPr="00133D59">
        <w:rPr>
          <w:rFonts w:ascii="Calibri" w:eastAsia="Malgun Gothic" w:hAnsi="Calibri" w:cs="Batang"/>
          <w:lang w:val="en-GB" w:eastAsia="ko-KR"/>
        </w:rPr>
        <w:t xml:space="preserve"> (</w:t>
      </w:r>
      <w:r w:rsidR="00494868">
        <w:rPr>
          <w:rFonts w:ascii="Calibri" w:eastAsia="Malgun Gothic" w:hAnsi="Calibri" w:cs="Batang"/>
          <w:lang w:val="en-GB" w:eastAsia="ko-KR"/>
        </w:rPr>
        <w:t xml:space="preserve">e.g. </w:t>
      </w:r>
      <w:r w:rsidRPr="00133D59">
        <w:rPr>
          <w:rFonts w:ascii="Calibri" w:eastAsia="Malgun Gothic" w:hAnsi="Calibri" w:cs="Batang"/>
          <w:lang w:val="en-GB" w:eastAsia="ko-KR"/>
        </w:rPr>
        <w:t xml:space="preserve">Hard, Soft, Not Available) to a given resource of a </w:t>
      </w:r>
      <w:r w:rsidR="00494868">
        <w:rPr>
          <w:rFonts w:ascii="Calibri" w:eastAsia="Malgun Gothic" w:hAnsi="Calibri" w:cs="Batang"/>
          <w:lang w:val="en-GB" w:eastAsia="ko-KR"/>
        </w:rPr>
        <w:t xml:space="preserve">cell of a </w:t>
      </w:r>
      <w:r w:rsidRPr="00133D59">
        <w:rPr>
          <w:rFonts w:ascii="Calibri" w:eastAsia="Malgun Gothic" w:hAnsi="Calibri" w:cs="Batang"/>
          <w:lang w:val="en-GB" w:eastAsia="ko-KR"/>
        </w:rPr>
        <w:t>logical IAB DU.</w:t>
      </w:r>
      <w:r w:rsidR="008C0BEF">
        <w:rPr>
          <w:rFonts w:ascii="Calibri" w:eastAsia="Malgun Gothic" w:hAnsi="Calibri" w:cs="Batang"/>
          <w:lang w:val="en-GB" w:eastAsia="ko-KR"/>
        </w:rPr>
        <w:t xml:space="preserve"> For example</w:t>
      </w:r>
      <w:r w:rsidR="00494868">
        <w:rPr>
          <w:rFonts w:ascii="Calibri" w:eastAsia="Malgun Gothic" w:hAnsi="Calibri" w:cs="Batang"/>
          <w:lang w:val="en-GB" w:eastAsia="ko-KR"/>
        </w:rPr>
        <w:t xml:space="preserve"> </w:t>
      </w:r>
      <w:r w:rsidR="008C0BEF">
        <w:rPr>
          <w:rFonts w:ascii="Calibri" w:eastAsia="Malgun Gothic" w:hAnsi="Calibri" w:cs="Batang"/>
          <w:lang w:val="en-GB" w:eastAsia="ko-KR"/>
        </w:rPr>
        <w:t xml:space="preserve">the </w:t>
      </w:r>
      <w:r w:rsidR="00494868">
        <w:rPr>
          <w:rFonts w:ascii="Calibri" w:eastAsia="Malgun Gothic" w:hAnsi="Calibri" w:cs="Batang"/>
          <w:lang w:val="en-GB" w:eastAsia="ko-KR"/>
        </w:rPr>
        <w:t>Hard resource type</w:t>
      </w:r>
      <w:r w:rsidR="008C0BEF">
        <w:rPr>
          <w:rFonts w:ascii="Calibri" w:eastAsia="Malgun Gothic" w:hAnsi="Calibri" w:cs="Batang"/>
          <w:lang w:val="en-GB" w:eastAsia="ko-KR"/>
        </w:rPr>
        <w:t xml:space="preserve"> would be configured for one logical DU</w:t>
      </w:r>
      <w:r w:rsidR="00494868">
        <w:rPr>
          <w:rFonts w:ascii="Calibri" w:eastAsia="Malgun Gothic" w:hAnsi="Calibri" w:cs="Batang"/>
          <w:lang w:val="en-GB" w:eastAsia="ko-KR"/>
        </w:rPr>
        <w:t xml:space="preserve"> for </w:t>
      </w:r>
      <w:r w:rsidR="008C0BEF">
        <w:rPr>
          <w:rFonts w:ascii="Calibri" w:eastAsia="Malgun Gothic" w:hAnsi="Calibri" w:cs="Batang"/>
          <w:lang w:val="en-GB" w:eastAsia="ko-KR"/>
        </w:rPr>
        <w:t>transmission/reception of the critical cell-specific or semi-statically configured signals and channels, while for the other logical DU those same resources have the NA resource type is configured to ensure there is no interference. For the remaining resources which would be configured as Soft resources at the logical DUs, the</w:t>
      </w:r>
      <w:r w:rsidR="00133D59" w:rsidRPr="00133D59">
        <w:rPr>
          <w:rFonts w:ascii="Calibri" w:eastAsia="Malgun Gothic" w:hAnsi="Calibri" w:cs="Batang"/>
          <w:lang w:val="en-GB" w:eastAsia="ko-KR"/>
        </w:rPr>
        <w:t xml:space="preserve"> </w:t>
      </w:r>
      <w:r w:rsidR="004A6098">
        <w:rPr>
          <w:rFonts w:ascii="Calibri" w:eastAsia="Malgun Gothic" w:hAnsi="Calibri" w:cs="Batang"/>
          <w:lang w:val="en-GB" w:eastAsia="ko-KR"/>
        </w:rPr>
        <w:t xml:space="preserve">child </w:t>
      </w:r>
      <w:r w:rsidR="00133D59" w:rsidRPr="00133D59">
        <w:rPr>
          <w:rFonts w:ascii="Calibri" w:eastAsia="Malgun Gothic" w:hAnsi="Calibri" w:cs="Batang"/>
          <w:lang w:val="en-GB" w:eastAsia="ko-KR"/>
        </w:rPr>
        <w:t>IAB-node</w:t>
      </w:r>
      <w:r w:rsidRPr="00133D59">
        <w:rPr>
          <w:rFonts w:ascii="Calibri" w:eastAsia="Malgun Gothic" w:hAnsi="Calibri" w:cs="Batang"/>
          <w:lang w:val="en-GB" w:eastAsia="ko-KR"/>
        </w:rPr>
        <w:t xml:space="preserve"> </w:t>
      </w:r>
      <w:r w:rsidR="008C0BEF">
        <w:rPr>
          <w:rFonts w:ascii="Calibri" w:eastAsia="Malgun Gothic" w:hAnsi="Calibri" w:cs="Batang"/>
          <w:lang w:val="en-GB" w:eastAsia="ko-KR"/>
        </w:rPr>
        <w:t xml:space="preserve">itself </w:t>
      </w:r>
      <w:r w:rsidR="004A6098">
        <w:rPr>
          <w:rFonts w:ascii="Calibri" w:eastAsia="Malgun Gothic" w:hAnsi="Calibri" w:cs="Batang"/>
          <w:lang w:val="en-GB" w:eastAsia="ko-KR"/>
        </w:rPr>
        <w:t xml:space="preserve">can </w:t>
      </w:r>
      <w:r w:rsidRPr="00133D59">
        <w:rPr>
          <w:rFonts w:ascii="Calibri" w:eastAsia="Malgun Gothic" w:hAnsi="Calibri" w:cs="Batang"/>
          <w:lang w:val="en-GB" w:eastAsia="ko-KR"/>
        </w:rPr>
        <w:t xml:space="preserve">dynamically partition the </w:t>
      </w:r>
      <w:r w:rsidR="008C0BEF">
        <w:rPr>
          <w:rFonts w:ascii="Calibri" w:eastAsia="Malgun Gothic" w:hAnsi="Calibri" w:cs="Batang"/>
          <w:lang w:val="en-GB" w:eastAsia="ko-KR"/>
        </w:rPr>
        <w:t>resources</w:t>
      </w:r>
      <w:r w:rsidRPr="00133D59">
        <w:rPr>
          <w:rFonts w:ascii="Calibri" w:eastAsia="Malgun Gothic" w:hAnsi="Calibri" w:cs="Batang"/>
          <w:lang w:val="en-GB" w:eastAsia="ko-KR"/>
        </w:rPr>
        <w:t xml:space="preserve"> </w:t>
      </w:r>
      <w:r w:rsidR="008C0BEF">
        <w:rPr>
          <w:rFonts w:ascii="Calibri" w:eastAsia="Malgun Gothic" w:hAnsi="Calibri" w:cs="Batang"/>
          <w:lang w:val="en-GB" w:eastAsia="ko-KR"/>
        </w:rPr>
        <w:t xml:space="preserve">on a slot-by-slot basis </w:t>
      </w:r>
      <w:r w:rsidRPr="00133D59">
        <w:rPr>
          <w:rFonts w:ascii="Calibri" w:eastAsia="Malgun Gothic" w:hAnsi="Calibri" w:cs="Batang"/>
          <w:lang w:val="en-GB" w:eastAsia="ko-KR"/>
        </w:rPr>
        <w:t xml:space="preserve">across </w:t>
      </w:r>
      <w:r w:rsidR="00133D59" w:rsidRPr="00133D59">
        <w:rPr>
          <w:rFonts w:ascii="Calibri" w:eastAsia="Malgun Gothic" w:hAnsi="Calibri" w:cs="Batang"/>
          <w:lang w:val="en-GB" w:eastAsia="ko-KR"/>
        </w:rPr>
        <w:t>the two logical DUs</w:t>
      </w:r>
      <w:r w:rsidRPr="00133D59">
        <w:rPr>
          <w:rFonts w:ascii="Calibri" w:eastAsia="Malgun Gothic" w:hAnsi="Calibri" w:cs="Batang"/>
          <w:lang w:val="en-GB" w:eastAsia="ko-KR"/>
        </w:rPr>
        <w:t xml:space="preserve"> based on</w:t>
      </w:r>
      <w:r w:rsidR="008C0BEF">
        <w:rPr>
          <w:rFonts w:ascii="Calibri" w:eastAsia="Malgun Gothic" w:hAnsi="Calibri" w:cs="Batang"/>
          <w:lang w:val="en-GB" w:eastAsia="ko-KR"/>
        </w:rPr>
        <w:t xml:space="preserve"> its own implementation and assessment of</w:t>
      </w:r>
      <w:r w:rsidRPr="00133D59">
        <w:rPr>
          <w:rFonts w:ascii="Calibri" w:eastAsia="Malgun Gothic" w:hAnsi="Calibri" w:cs="Batang"/>
          <w:lang w:val="en-GB" w:eastAsia="ko-KR"/>
        </w:rPr>
        <w:t xml:space="preserve"> multiple factors including the </w:t>
      </w:r>
      <w:r w:rsidR="008C0BEF">
        <w:rPr>
          <w:rFonts w:ascii="Calibri" w:eastAsia="Malgun Gothic" w:hAnsi="Calibri" w:cs="Batang"/>
          <w:lang w:val="en-GB" w:eastAsia="ko-KR"/>
        </w:rPr>
        <w:t>access UE and child IAB-MT</w:t>
      </w:r>
      <w:r w:rsidRPr="00133D59">
        <w:rPr>
          <w:rFonts w:ascii="Calibri" w:eastAsia="Malgun Gothic" w:hAnsi="Calibri" w:cs="Batang"/>
          <w:lang w:val="en-GB" w:eastAsia="ko-KR"/>
        </w:rPr>
        <w:t xml:space="preserve"> configurations, traffic load, interference measurements, and multiplexing capabilities.</w:t>
      </w:r>
    </w:p>
    <w:p w14:paraId="355597EC" w14:textId="7AAEE7ED" w:rsidR="00FD58DE" w:rsidRPr="008C0BEF" w:rsidRDefault="008C0BEF" w:rsidP="00FD58DE">
      <w:pPr>
        <w:spacing w:before="240" w:after="240"/>
        <w:rPr>
          <w:rFonts w:ascii="Calibri" w:eastAsia="Malgun Gothic" w:hAnsi="Calibri" w:cs="Batang"/>
          <w:lang w:val="en-GB" w:eastAsia="ko-KR"/>
        </w:rPr>
      </w:pPr>
      <w:r>
        <w:rPr>
          <w:rFonts w:ascii="Calibri" w:eastAsia="Malgun Gothic" w:hAnsi="Calibri" w:cs="Batang"/>
          <w:lang w:val="en-GB" w:eastAsia="ko-KR"/>
        </w:rPr>
        <w:t>This hybrid approach allows the</w:t>
      </w:r>
      <w:r w:rsidR="00A64116" w:rsidRPr="00A64116">
        <w:rPr>
          <w:rFonts w:ascii="Calibri" w:eastAsia="Malgun Gothic" w:hAnsi="Calibri" w:cs="Batang"/>
          <w:lang w:val="en-GB" w:eastAsia="ko-KR"/>
        </w:rPr>
        <w:t xml:space="preserve"> resource partitioning </w:t>
      </w:r>
      <w:r>
        <w:rPr>
          <w:rFonts w:ascii="Calibri" w:eastAsia="Malgun Gothic" w:hAnsi="Calibri" w:cs="Batang"/>
          <w:lang w:val="en-GB" w:eastAsia="ko-KR"/>
        </w:rPr>
        <w:t>to be</w:t>
      </w:r>
      <w:r w:rsidR="00A64116" w:rsidRPr="00A64116">
        <w:rPr>
          <w:rFonts w:ascii="Calibri" w:eastAsia="Malgun Gothic" w:hAnsi="Calibri" w:cs="Batang"/>
          <w:lang w:val="en-GB" w:eastAsia="ko-KR"/>
        </w:rPr>
        <w:t xml:space="preserve"> adapted before, during, and after the migration event to change the amount of resource provided to a given logical IAB DU. This is beneficial since during the migration event, descendent access UEs or child IAB nodes may migrate from one logical IAB DU to the other in order to maintain service continuity (e.g. </w:t>
      </w:r>
      <w:r w:rsidR="00A64116" w:rsidRPr="00A64116">
        <w:rPr>
          <w:rFonts w:ascii="Calibri" w:eastAsia="Malgun Gothic" w:hAnsi="Calibri" w:cs="Batang"/>
          <w:lang w:val="en-GB" w:eastAsia="ko-KR"/>
        </w:rPr>
        <w:lastRenderedPageBreak/>
        <w:t>via handover or SCG change). As the number of connected descendent nodes changes between the logical IAB DUs, the amount of required resources also changes, so adapting the resource configurations (e.g. after every handover or group of handovers) allows a more efficient utilization of resources without the need for static partitioning as in Alt</w:t>
      </w:r>
      <w:r w:rsidR="009B6ADC">
        <w:rPr>
          <w:rFonts w:ascii="Calibri" w:eastAsia="Malgun Gothic" w:hAnsi="Calibri" w:cs="Batang"/>
          <w:lang w:val="en-GB" w:eastAsia="ko-KR"/>
        </w:rPr>
        <w:t>1</w:t>
      </w:r>
      <w:r>
        <w:rPr>
          <w:rFonts w:ascii="Calibri" w:eastAsia="Malgun Gothic" w:hAnsi="Calibri" w:cs="Batang"/>
          <w:lang w:val="en-GB" w:eastAsia="ko-KR"/>
        </w:rPr>
        <w:t>, but allows the network to have more control over the utilization of resources and avoid potential legacy UE impact compared to Alt2</w:t>
      </w:r>
      <w:r w:rsidR="009B6ADC">
        <w:rPr>
          <w:rFonts w:ascii="Calibri" w:eastAsia="Malgun Gothic" w:hAnsi="Calibri" w:cs="Batang"/>
          <w:lang w:val="en-GB" w:eastAsia="ko-KR"/>
        </w:rPr>
        <w:t>.</w:t>
      </w:r>
      <w:r>
        <w:rPr>
          <w:rFonts w:ascii="Calibri" w:eastAsia="Malgun Gothic" w:hAnsi="Calibri" w:cs="Batang"/>
          <w:lang w:val="en-GB" w:eastAsia="ko-KR"/>
        </w:rPr>
        <w:t xml:space="preserve"> Of course, this does not enforce that either Alt1 or Alt2 </w:t>
      </w:r>
      <w:r w:rsidRPr="000E15A0">
        <w:rPr>
          <w:rFonts w:ascii="Calibri" w:eastAsia="Malgun Gothic" w:hAnsi="Calibri" w:cs="Batang"/>
          <w:u w:val="single"/>
          <w:lang w:val="en-GB" w:eastAsia="ko-KR"/>
        </w:rPr>
        <w:t>must</w:t>
      </w:r>
      <w:r>
        <w:rPr>
          <w:rFonts w:ascii="Calibri" w:eastAsia="Malgun Gothic" w:hAnsi="Calibri" w:cs="Batang"/>
          <w:lang w:val="en-GB" w:eastAsia="ko-KR"/>
        </w:rPr>
        <w:t xml:space="preserve"> be supported at a given IAB node. For </w:t>
      </w:r>
      <w:r w:rsidR="00A746BB">
        <w:rPr>
          <w:rFonts w:ascii="Calibri" w:eastAsia="Malgun Gothic" w:hAnsi="Calibri" w:cs="Batang"/>
          <w:lang w:val="en-GB" w:eastAsia="ko-KR"/>
        </w:rPr>
        <w:t>example,</w:t>
      </w:r>
      <w:r>
        <w:rPr>
          <w:rFonts w:ascii="Calibri" w:eastAsia="Malgun Gothic" w:hAnsi="Calibri" w:cs="Batang"/>
          <w:lang w:val="en-GB" w:eastAsia="ko-KR"/>
        </w:rPr>
        <w:t xml:space="preserve"> if the IAB node can only support a strict TDM multiplexing between logical DUs, the resource partitioning could fallback to an orthogonal, Alt1 style approach.</w:t>
      </w:r>
    </w:p>
    <w:p w14:paraId="4CAFC4CF" w14:textId="635E7660" w:rsidR="009B6ADC" w:rsidRPr="00C71613" w:rsidRDefault="009B6ADC" w:rsidP="00FD58DE">
      <w:pPr>
        <w:spacing w:before="240" w:after="240"/>
        <w:rPr>
          <w:rFonts w:ascii="Calibri" w:eastAsia="Malgun Gothic" w:hAnsi="Calibri" w:cs="Batang"/>
          <w:b/>
          <w:bCs/>
          <w:lang w:val="en-GB" w:eastAsia="ko-KR"/>
        </w:rPr>
      </w:pPr>
      <w:r w:rsidRPr="00C71613">
        <w:rPr>
          <w:rFonts w:ascii="Calibri" w:eastAsia="Malgun Gothic" w:hAnsi="Calibri" w:cs="Batang"/>
          <w:b/>
          <w:bCs/>
          <w:lang w:val="en-GB" w:eastAsia="ko-KR"/>
        </w:rPr>
        <w:t>Observation 1: Alt1 and Alt2 need not be mutually exclusive</w:t>
      </w:r>
      <w:r w:rsidR="00C71613" w:rsidRPr="00C71613">
        <w:rPr>
          <w:rFonts w:ascii="Calibri" w:eastAsia="Malgun Gothic" w:hAnsi="Calibri" w:cs="Batang"/>
          <w:b/>
          <w:bCs/>
          <w:lang w:val="en-GB" w:eastAsia="ko-KR"/>
        </w:rPr>
        <w:t>. Through the use of already specified reserved resources</w:t>
      </w:r>
      <w:r w:rsidR="008C0BEF">
        <w:rPr>
          <w:rFonts w:ascii="Calibri" w:eastAsia="Malgun Gothic" w:hAnsi="Calibri" w:cs="Batang"/>
          <w:b/>
          <w:bCs/>
          <w:lang w:val="en-GB" w:eastAsia="ko-KR"/>
        </w:rPr>
        <w:t xml:space="preserve"> and DU resource types</w:t>
      </w:r>
      <w:r w:rsidR="00C71613" w:rsidRPr="00C71613">
        <w:rPr>
          <w:rFonts w:ascii="Calibri" w:eastAsia="Malgun Gothic" w:hAnsi="Calibri" w:cs="Batang"/>
          <w:b/>
          <w:bCs/>
          <w:lang w:val="en-GB" w:eastAsia="ko-KR"/>
        </w:rPr>
        <w:t xml:space="preserve">, a blended approach between Alt1 and Alt2 can allow an operator </w:t>
      </w:r>
      <w:r w:rsidR="0026014B">
        <w:rPr>
          <w:rFonts w:ascii="Calibri" w:eastAsia="Malgun Gothic" w:hAnsi="Calibri" w:cs="Batang"/>
          <w:b/>
          <w:bCs/>
          <w:lang w:val="en-GB" w:eastAsia="ko-KR"/>
        </w:rPr>
        <w:t xml:space="preserve">to </w:t>
      </w:r>
      <w:r w:rsidR="00C71613" w:rsidRPr="00C71613">
        <w:rPr>
          <w:rFonts w:ascii="Calibri" w:eastAsia="Malgun Gothic" w:hAnsi="Calibri" w:cs="Batang"/>
          <w:b/>
          <w:bCs/>
          <w:lang w:val="en-GB" w:eastAsia="ko-KR"/>
        </w:rPr>
        <w:t xml:space="preserve">achieve benefits of both alternatives while mitigating their issues. </w:t>
      </w:r>
    </w:p>
    <w:p w14:paraId="28B884A0" w14:textId="05E4D570" w:rsidR="00196C36" w:rsidRPr="00C71613" w:rsidRDefault="00FC18CF" w:rsidP="005A5E08">
      <w:pPr>
        <w:spacing w:before="0"/>
        <w:rPr>
          <w:rFonts w:ascii="Calibri" w:eastAsia="Malgun Gothic" w:hAnsi="Calibri" w:cs="Batang"/>
          <w:b/>
          <w:bCs/>
          <w:lang w:val="en-GB" w:eastAsia="ko-KR"/>
        </w:rPr>
      </w:pPr>
      <w:r w:rsidRPr="00C71613">
        <w:rPr>
          <w:rFonts w:ascii="Calibri" w:eastAsia="Malgun Gothic" w:hAnsi="Calibri" w:cs="Batang"/>
          <w:b/>
          <w:bCs/>
          <w:lang w:val="en-GB" w:eastAsia="ko-KR"/>
        </w:rPr>
        <w:t xml:space="preserve">Proposal 1: RAN3 </w:t>
      </w:r>
      <w:r w:rsidR="00C71613" w:rsidRPr="00C71613">
        <w:rPr>
          <w:rFonts w:ascii="Calibri" w:eastAsia="Malgun Gothic" w:hAnsi="Calibri" w:cs="Batang"/>
          <w:b/>
          <w:bCs/>
          <w:lang w:val="en-GB" w:eastAsia="ko-KR"/>
        </w:rPr>
        <w:t xml:space="preserve">need not </w:t>
      </w:r>
      <w:r w:rsidR="00FC4D96" w:rsidRPr="00C71613">
        <w:rPr>
          <w:rFonts w:ascii="Calibri" w:eastAsia="Malgun Gothic" w:hAnsi="Calibri" w:cs="Batang"/>
          <w:b/>
          <w:bCs/>
          <w:lang w:val="en-GB" w:eastAsia="ko-KR"/>
        </w:rPr>
        <w:t>down select</w:t>
      </w:r>
      <w:r w:rsidRPr="00C71613">
        <w:rPr>
          <w:rFonts w:ascii="Calibri" w:eastAsia="Malgun Gothic" w:hAnsi="Calibri" w:cs="Batang"/>
          <w:b/>
          <w:bCs/>
          <w:lang w:val="en-GB" w:eastAsia="ko-KR"/>
        </w:rPr>
        <w:t xml:space="preserve"> between Alt1 and Alt2</w:t>
      </w:r>
      <w:r w:rsidR="00C71613" w:rsidRPr="00C71613">
        <w:rPr>
          <w:rFonts w:ascii="Calibri" w:eastAsia="Malgun Gothic" w:hAnsi="Calibri" w:cs="Batang"/>
          <w:b/>
          <w:bCs/>
          <w:lang w:val="en-GB" w:eastAsia="ko-KR"/>
        </w:rPr>
        <w:t xml:space="preserve"> since they can co-exist. </w:t>
      </w:r>
    </w:p>
    <w:p w14:paraId="489BD50C" w14:textId="54E0D0FE" w:rsidR="00C71613" w:rsidRDefault="00C71613" w:rsidP="005A5E08">
      <w:pPr>
        <w:spacing w:before="0"/>
        <w:rPr>
          <w:rFonts w:ascii="Calibri" w:eastAsia="Malgun Gothic" w:hAnsi="Calibri" w:cs="Batang"/>
          <w:b/>
          <w:bCs/>
          <w:lang w:val="en-GB" w:eastAsia="ko-KR"/>
        </w:rPr>
      </w:pPr>
      <w:r w:rsidRPr="00C71613">
        <w:rPr>
          <w:rFonts w:ascii="Calibri" w:eastAsia="Malgun Gothic" w:hAnsi="Calibri" w:cs="Batang"/>
          <w:b/>
          <w:bCs/>
          <w:lang w:val="en-GB" w:eastAsia="ko-KR"/>
        </w:rPr>
        <w:t xml:space="preserve">Proposal 2: RAN3 should assess whether any signalling enhancements are needed to ensure that partitioning of resources can be indicated to logical DUs involved in the full migration procedure. </w:t>
      </w:r>
    </w:p>
    <w:p w14:paraId="4FBE7551" w14:textId="77777777" w:rsidR="00C71613" w:rsidRPr="00C71613" w:rsidRDefault="00C71613" w:rsidP="005A5E08">
      <w:pPr>
        <w:spacing w:before="0"/>
        <w:rPr>
          <w:rFonts w:ascii="Calibri" w:eastAsia="Malgun Gothic" w:hAnsi="Calibri" w:cs="Batang"/>
          <w:b/>
          <w:bCs/>
          <w:lang w:val="en-GB" w:eastAsia="ko-KR"/>
        </w:rPr>
      </w:pPr>
    </w:p>
    <w:p w14:paraId="6922A65F"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71556A7E" w14:textId="49174F5F" w:rsidR="004A7002" w:rsidRPr="001B2250" w:rsidRDefault="00A92669" w:rsidP="003C7FBF">
      <w:pPr>
        <w:pStyle w:val="maintext"/>
        <w:spacing w:line="240" w:lineRule="auto"/>
        <w:ind w:firstLineChars="0" w:firstLine="0"/>
        <w:rPr>
          <w:rFonts w:ascii="Calibri" w:hAnsi="Calibri"/>
        </w:rPr>
      </w:pPr>
      <w:r>
        <w:rPr>
          <w:rFonts w:ascii="Calibri" w:hAnsi="Calibri"/>
        </w:rPr>
        <w:t>T</w:t>
      </w:r>
      <w:r w:rsidR="00F82906">
        <w:rPr>
          <w:rFonts w:ascii="Calibri" w:hAnsi="Calibri"/>
        </w:rPr>
        <w:t xml:space="preserve">his </w:t>
      </w:r>
      <w:r w:rsidR="0071107A">
        <w:rPr>
          <w:rFonts w:ascii="Calibri" w:hAnsi="Calibri"/>
        </w:rPr>
        <w:t xml:space="preserve">contribution discussed </w:t>
      </w:r>
      <w:r w:rsidR="00FC4D96">
        <w:rPr>
          <w:rFonts w:ascii="Calibri" w:hAnsi="Calibri"/>
        </w:rPr>
        <w:t xml:space="preserve">alternatives for full inter-donor IAB-node migration and presented a harmonized proposal </w:t>
      </w:r>
      <w:r w:rsidR="00F30AD0">
        <w:rPr>
          <w:rFonts w:ascii="Calibri" w:hAnsi="Calibri"/>
        </w:rPr>
        <w:t>that allows Alt1 and Alt2 to coexist mostly within existing NR specifications in order to take advantage of benefits of both alternatives to be applied by operators based on specifics of their deployment scenarios. The following observation and proposals were made</w:t>
      </w:r>
      <w:r w:rsidR="00F82906">
        <w:rPr>
          <w:rFonts w:ascii="Calibri" w:hAnsi="Calibri"/>
        </w:rPr>
        <w:t>:</w:t>
      </w:r>
      <w:r w:rsidR="004A7002">
        <w:rPr>
          <w:rFonts w:ascii="Calibri" w:hAnsi="Calibri"/>
        </w:rPr>
        <w:t xml:space="preserve"> </w:t>
      </w:r>
    </w:p>
    <w:p w14:paraId="7E92694E" w14:textId="13A945F8" w:rsidR="00F30AD0" w:rsidRPr="00C71613" w:rsidRDefault="00F30AD0" w:rsidP="00F30AD0">
      <w:pPr>
        <w:spacing w:before="240" w:after="240"/>
        <w:rPr>
          <w:rFonts w:ascii="Calibri" w:eastAsia="Malgun Gothic" w:hAnsi="Calibri" w:cs="Batang"/>
          <w:b/>
          <w:bCs/>
          <w:lang w:val="en-GB" w:eastAsia="ko-KR"/>
        </w:rPr>
      </w:pPr>
      <w:r w:rsidRPr="00C71613">
        <w:rPr>
          <w:rFonts w:ascii="Calibri" w:eastAsia="Malgun Gothic" w:hAnsi="Calibri" w:cs="Batang"/>
          <w:b/>
          <w:bCs/>
          <w:lang w:val="en-GB" w:eastAsia="ko-KR"/>
        </w:rPr>
        <w:t xml:space="preserve">Observation 1: Alt1 and Alt2 need not be mutually exclusive. Through the use of already specified reserved resources, a blended approach between Alt1 and Alt2 can allow an operator </w:t>
      </w:r>
      <w:r w:rsidR="00D9261A">
        <w:rPr>
          <w:rFonts w:ascii="Calibri" w:eastAsia="Malgun Gothic" w:hAnsi="Calibri" w:cs="Batang"/>
          <w:b/>
          <w:bCs/>
          <w:lang w:val="en-GB" w:eastAsia="ko-KR"/>
        </w:rPr>
        <w:t xml:space="preserve">to </w:t>
      </w:r>
      <w:r w:rsidRPr="00C71613">
        <w:rPr>
          <w:rFonts w:ascii="Calibri" w:eastAsia="Malgun Gothic" w:hAnsi="Calibri" w:cs="Batang"/>
          <w:b/>
          <w:bCs/>
          <w:lang w:val="en-GB" w:eastAsia="ko-KR"/>
        </w:rPr>
        <w:t xml:space="preserve">achieve benefits of both alternatives while mitigating their issues. </w:t>
      </w:r>
    </w:p>
    <w:p w14:paraId="51DED187" w14:textId="77777777" w:rsidR="00F30AD0" w:rsidRPr="00C71613" w:rsidRDefault="00F30AD0" w:rsidP="00F30AD0">
      <w:pPr>
        <w:spacing w:before="0"/>
        <w:rPr>
          <w:rFonts w:ascii="Calibri" w:eastAsia="Malgun Gothic" w:hAnsi="Calibri" w:cs="Batang"/>
          <w:b/>
          <w:bCs/>
          <w:lang w:val="en-GB" w:eastAsia="ko-KR"/>
        </w:rPr>
      </w:pPr>
      <w:r w:rsidRPr="00C71613">
        <w:rPr>
          <w:rFonts w:ascii="Calibri" w:eastAsia="Malgun Gothic" w:hAnsi="Calibri" w:cs="Batang"/>
          <w:b/>
          <w:bCs/>
          <w:lang w:val="en-GB" w:eastAsia="ko-KR"/>
        </w:rPr>
        <w:t xml:space="preserve">Proposal 1: RAN3 need not down select between Alt1 and Alt2 since they can co-exist. </w:t>
      </w:r>
    </w:p>
    <w:p w14:paraId="11F0E32A" w14:textId="39C341BC" w:rsidR="00911186" w:rsidRPr="00F30AD0" w:rsidRDefault="00F30AD0" w:rsidP="00F30AD0">
      <w:pPr>
        <w:spacing w:before="0"/>
        <w:rPr>
          <w:rFonts w:ascii="Calibri" w:eastAsia="Malgun Gothic" w:hAnsi="Calibri" w:cs="Batang"/>
          <w:b/>
          <w:bCs/>
          <w:lang w:val="en-GB" w:eastAsia="ko-KR"/>
        </w:rPr>
      </w:pPr>
      <w:r w:rsidRPr="00C71613">
        <w:rPr>
          <w:rFonts w:ascii="Calibri" w:eastAsia="Malgun Gothic" w:hAnsi="Calibri" w:cs="Batang"/>
          <w:b/>
          <w:bCs/>
          <w:lang w:val="en-GB" w:eastAsia="ko-KR"/>
        </w:rPr>
        <w:t xml:space="preserve">Proposal 2: RAN3 should assess whether any signalling enhancements are needed to ensure that partitioning of resources can be indicated to logical DUs involved in the full migration procedure. </w:t>
      </w:r>
    </w:p>
    <w:p w14:paraId="4A334E4D" w14:textId="77777777" w:rsidR="00B460A0" w:rsidRDefault="00B460A0" w:rsidP="00B460A0">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References</w:t>
      </w:r>
    </w:p>
    <w:p w14:paraId="428334F0" w14:textId="566FC03B" w:rsidR="00FB4A6D" w:rsidRDefault="001D743F" w:rsidP="00FB4A6D">
      <w:pPr>
        <w:pStyle w:val="2222"/>
        <w:numPr>
          <w:ilvl w:val="0"/>
          <w:numId w:val="5"/>
        </w:numPr>
        <w:spacing w:after="120" w:line="288" w:lineRule="auto"/>
        <w:ind w:left="360" w:firstLineChars="0"/>
        <w:jc w:val="left"/>
        <w:rPr>
          <w:rFonts w:cs="Times New Roman"/>
          <w:lang w:eastAsia="ko-KR"/>
        </w:rPr>
      </w:pPr>
      <w:r w:rsidRPr="001D743F">
        <w:rPr>
          <w:rFonts w:cs="Times New Roman"/>
          <w:lang w:eastAsia="ko-KR"/>
        </w:rPr>
        <w:t>R3-214677</w:t>
      </w:r>
      <w:r w:rsidR="00E119FA" w:rsidRPr="00E119FA">
        <w:rPr>
          <w:rFonts w:cs="Times New Roman"/>
          <w:lang w:eastAsia="ko-KR"/>
        </w:rPr>
        <w:t xml:space="preserve">, </w:t>
      </w:r>
      <w:r>
        <w:rPr>
          <w:rFonts w:cs="Times New Roman"/>
          <w:lang w:eastAsia="ko-KR"/>
        </w:rPr>
        <w:t>Reply LS on Inter-donor migration</w:t>
      </w:r>
      <w:r w:rsidR="00E119FA" w:rsidRPr="00E119FA">
        <w:rPr>
          <w:rFonts w:cs="Times New Roman"/>
          <w:lang w:eastAsia="ko-KR"/>
        </w:rPr>
        <w:t xml:space="preserve"> </w:t>
      </w:r>
      <w:r>
        <w:rPr>
          <w:rFonts w:cs="Times New Roman"/>
          <w:lang w:eastAsia="ko-KR"/>
        </w:rPr>
        <w:t>(RAN1</w:t>
      </w:r>
      <w:r w:rsidR="00E119FA" w:rsidRPr="00E119FA">
        <w:rPr>
          <w:rFonts w:cs="Times New Roman"/>
          <w:lang w:eastAsia="ko-KR"/>
        </w:rPr>
        <w:t>)</w:t>
      </w:r>
    </w:p>
    <w:p w14:paraId="4B995B20" w14:textId="3B66D6DD" w:rsidR="001D743F" w:rsidRDefault="001D743F" w:rsidP="001D743F">
      <w:pPr>
        <w:pStyle w:val="2222"/>
        <w:numPr>
          <w:ilvl w:val="0"/>
          <w:numId w:val="5"/>
        </w:numPr>
        <w:spacing w:after="120" w:line="288" w:lineRule="auto"/>
        <w:ind w:left="360" w:firstLineChars="0"/>
        <w:jc w:val="left"/>
        <w:rPr>
          <w:rFonts w:cs="Times New Roman"/>
          <w:lang w:eastAsia="ko-KR"/>
        </w:rPr>
      </w:pPr>
      <w:r w:rsidRPr="001D743F">
        <w:rPr>
          <w:rFonts w:cs="Times New Roman"/>
          <w:lang w:eastAsia="ko-KR"/>
        </w:rPr>
        <w:t>R3-214690</w:t>
      </w:r>
      <w:r w:rsidRPr="00E119FA">
        <w:rPr>
          <w:rFonts w:cs="Times New Roman"/>
          <w:lang w:eastAsia="ko-KR"/>
        </w:rPr>
        <w:t xml:space="preserve">, </w:t>
      </w:r>
      <w:r>
        <w:rPr>
          <w:rFonts w:cs="Times New Roman"/>
          <w:lang w:eastAsia="ko-KR"/>
        </w:rPr>
        <w:t>Reply LS on Inter-donor migration</w:t>
      </w:r>
      <w:r w:rsidRPr="00E119FA">
        <w:rPr>
          <w:rFonts w:cs="Times New Roman"/>
          <w:lang w:eastAsia="ko-KR"/>
        </w:rPr>
        <w:t xml:space="preserve"> </w:t>
      </w:r>
      <w:r>
        <w:rPr>
          <w:rFonts w:cs="Times New Roman"/>
          <w:lang w:eastAsia="ko-KR"/>
        </w:rPr>
        <w:t>(RAN2</w:t>
      </w:r>
      <w:r w:rsidRPr="00E119FA">
        <w:rPr>
          <w:rFonts w:cs="Times New Roman"/>
          <w:lang w:eastAsia="ko-KR"/>
        </w:rPr>
        <w:t>)</w:t>
      </w:r>
    </w:p>
    <w:p w14:paraId="03C879F2" w14:textId="3E4F29EC" w:rsidR="001D743F" w:rsidRDefault="001D743F" w:rsidP="001D743F">
      <w:pPr>
        <w:pStyle w:val="2222"/>
        <w:numPr>
          <w:ilvl w:val="0"/>
          <w:numId w:val="5"/>
        </w:numPr>
        <w:spacing w:after="120" w:line="288" w:lineRule="auto"/>
        <w:ind w:left="360" w:firstLineChars="0"/>
        <w:jc w:val="left"/>
        <w:rPr>
          <w:rFonts w:cs="Times New Roman"/>
          <w:lang w:eastAsia="ko-KR"/>
        </w:rPr>
      </w:pPr>
      <w:r w:rsidRPr="001D743F">
        <w:rPr>
          <w:rFonts w:cs="Times New Roman"/>
          <w:lang w:eastAsia="ko-KR"/>
        </w:rPr>
        <w:t>R3-214701</w:t>
      </w:r>
      <w:r w:rsidRPr="00E119FA">
        <w:rPr>
          <w:rFonts w:cs="Times New Roman"/>
          <w:lang w:eastAsia="ko-KR"/>
        </w:rPr>
        <w:t xml:space="preserve">, </w:t>
      </w:r>
      <w:r>
        <w:rPr>
          <w:rFonts w:cs="Times New Roman"/>
          <w:lang w:eastAsia="ko-KR"/>
        </w:rPr>
        <w:t>Reply LS on Inter-donor migration</w:t>
      </w:r>
      <w:r w:rsidRPr="00E119FA">
        <w:rPr>
          <w:rFonts w:cs="Times New Roman"/>
          <w:lang w:eastAsia="ko-KR"/>
        </w:rPr>
        <w:t xml:space="preserve"> </w:t>
      </w:r>
      <w:r>
        <w:rPr>
          <w:rFonts w:cs="Times New Roman"/>
          <w:lang w:eastAsia="ko-KR"/>
        </w:rPr>
        <w:t>(RAN4</w:t>
      </w:r>
      <w:r w:rsidRPr="00E119FA">
        <w:rPr>
          <w:rFonts w:cs="Times New Roman"/>
          <w:lang w:eastAsia="ko-KR"/>
        </w:rPr>
        <w:t>)</w:t>
      </w:r>
    </w:p>
    <w:p w14:paraId="3A295C87" w14:textId="77777777" w:rsidR="00940827" w:rsidRPr="003A380F" w:rsidRDefault="00940827" w:rsidP="003A380F">
      <w:pPr>
        <w:pStyle w:val="2222"/>
        <w:spacing w:after="120" w:line="288" w:lineRule="auto"/>
        <w:ind w:firstLineChars="0" w:firstLine="0"/>
        <w:jc w:val="left"/>
        <w:rPr>
          <w:rFonts w:cs="Times New Roman"/>
          <w:lang w:eastAsia="ko-KR"/>
        </w:rPr>
      </w:pPr>
    </w:p>
    <w:sectPr w:rsidR="00940827" w:rsidRPr="003A380F" w:rsidSect="0001485D">
      <w:pgSz w:w="12240" w:h="15840"/>
      <w:pgMar w:top="1080" w:right="1080" w:bottom="1080" w:left="108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C932" w16cex:dateUtc="2021-10-21T16:10:00Z"/>
  <w16cex:commentExtensible w16cex:durableId="251BC963" w16cex:dateUtc="2021-10-21T16: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7B2C4" w14:textId="77777777" w:rsidR="00DB1F43" w:rsidRDefault="00DB1F43" w:rsidP="00424124">
      <w:pPr>
        <w:spacing w:before="0" w:after="0"/>
      </w:pPr>
      <w:r>
        <w:separator/>
      </w:r>
    </w:p>
  </w:endnote>
  <w:endnote w:type="continuationSeparator" w:id="0">
    <w:p w14:paraId="58E26D1D" w14:textId="77777777" w:rsidR="00DB1F43" w:rsidRDefault="00DB1F4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5CD56" w14:textId="77777777" w:rsidR="00DB1F43" w:rsidRDefault="00DB1F43" w:rsidP="00424124">
      <w:pPr>
        <w:spacing w:before="0" w:after="0"/>
      </w:pPr>
      <w:r>
        <w:separator/>
      </w:r>
    </w:p>
  </w:footnote>
  <w:footnote w:type="continuationSeparator" w:id="0">
    <w:p w14:paraId="1C40D370" w14:textId="77777777" w:rsidR="00DB1F43" w:rsidRDefault="00DB1F43"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84BC8"/>
    <w:multiLevelType w:val="hybridMultilevel"/>
    <w:tmpl w:val="02108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7F08B0"/>
    <w:multiLevelType w:val="hybridMultilevel"/>
    <w:tmpl w:val="D8C6A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85D22"/>
    <w:multiLevelType w:val="hybridMultilevel"/>
    <w:tmpl w:val="58A04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D1047"/>
    <w:multiLevelType w:val="hybridMultilevel"/>
    <w:tmpl w:val="46A21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4456A7"/>
    <w:multiLevelType w:val="hybridMultilevel"/>
    <w:tmpl w:val="002E22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166510"/>
    <w:multiLevelType w:val="hybridMultilevel"/>
    <w:tmpl w:val="25FC8580"/>
    <w:lvl w:ilvl="0" w:tplc="A7D2BE0A">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471515"/>
    <w:multiLevelType w:val="hybridMultilevel"/>
    <w:tmpl w:val="D6D6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508EF"/>
    <w:multiLevelType w:val="hybridMultilevel"/>
    <w:tmpl w:val="B47691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17C5E"/>
    <w:multiLevelType w:val="hybridMultilevel"/>
    <w:tmpl w:val="EE20D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3"/>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7"/>
  </w:num>
  <w:num w:numId="8">
    <w:abstractNumId w:val="21"/>
  </w:num>
  <w:num w:numId="9">
    <w:abstractNumId w:val="3"/>
  </w:num>
  <w:num w:numId="10">
    <w:abstractNumId w:val="4"/>
  </w:num>
  <w:num w:numId="11">
    <w:abstractNumId w:val="24"/>
  </w:num>
  <w:num w:numId="12">
    <w:abstractNumId w:val="13"/>
  </w:num>
  <w:num w:numId="13">
    <w:abstractNumId w:val="14"/>
  </w:num>
  <w:num w:numId="14">
    <w:abstractNumId w:val="33"/>
  </w:num>
  <w:num w:numId="15">
    <w:abstractNumId w:val="1"/>
  </w:num>
  <w:num w:numId="16">
    <w:abstractNumId w:val="30"/>
  </w:num>
  <w:num w:numId="17">
    <w:abstractNumId w:val="22"/>
  </w:num>
  <w:num w:numId="18">
    <w:abstractNumId w:val="18"/>
  </w:num>
  <w:num w:numId="19">
    <w:abstractNumId w:val="6"/>
  </w:num>
  <w:num w:numId="20">
    <w:abstractNumId w:val="31"/>
  </w:num>
  <w:num w:numId="21">
    <w:abstractNumId w:val="29"/>
  </w:num>
  <w:num w:numId="22">
    <w:abstractNumId w:val="32"/>
  </w:num>
  <w:num w:numId="23">
    <w:abstractNumId w:val="8"/>
  </w:num>
  <w:num w:numId="24">
    <w:abstractNumId w:val="27"/>
  </w:num>
  <w:num w:numId="25">
    <w:abstractNumId w:val="15"/>
  </w:num>
  <w:num w:numId="26">
    <w:abstractNumId w:val="29"/>
  </w:num>
  <w:num w:numId="27">
    <w:abstractNumId w:val="17"/>
  </w:num>
  <w:num w:numId="28">
    <w:abstractNumId w:val="11"/>
  </w:num>
  <w:num w:numId="2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0"/>
  </w:num>
  <w:num w:numId="32">
    <w:abstractNumId w:val="28"/>
  </w:num>
  <w:num w:numId="33">
    <w:abstractNumId w:val="16"/>
  </w:num>
  <w:num w:numId="34">
    <w:abstractNumId w:val="12"/>
  </w:num>
  <w:num w:numId="35">
    <w:abstractNumId w:val="25"/>
  </w:num>
  <w:num w:numId="36">
    <w:abstractNumId w:val="20"/>
  </w:num>
  <w:num w:numId="37">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21D"/>
    <w:rsid w:val="00004522"/>
    <w:rsid w:val="000052FF"/>
    <w:rsid w:val="00005D82"/>
    <w:rsid w:val="00011DE7"/>
    <w:rsid w:val="0001485D"/>
    <w:rsid w:val="000149EC"/>
    <w:rsid w:val="00015790"/>
    <w:rsid w:val="00020F1A"/>
    <w:rsid w:val="00024B67"/>
    <w:rsid w:val="00027A39"/>
    <w:rsid w:val="00032D47"/>
    <w:rsid w:val="000337FC"/>
    <w:rsid w:val="00042177"/>
    <w:rsid w:val="000440EF"/>
    <w:rsid w:val="00044947"/>
    <w:rsid w:val="000463E4"/>
    <w:rsid w:val="000470F3"/>
    <w:rsid w:val="00050600"/>
    <w:rsid w:val="00051B4B"/>
    <w:rsid w:val="00051EBB"/>
    <w:rsid w:val="000525FE"/>
    <w:rsid w:val="0005289E"/>
    <w:rsid w:val="0005353F"/>
    <w:rsid w:val="000550BC"/>
    <w:rsid w:val="00057E9B"/>
    <w:rsid w:val="00061D16"/>
    <w:rsid w:val="000643FA"/>
    <w:rsid w:val="00066F6F"/>
    <w:rsid w:val="00070728"/>
    <w:rsid w:val="000730C9"/>
    <w:rsid w:val="00073B76"/>
    <w:rsid w:val="00074609"/>
    <w:rsid w:val="0007575F"/>
    <w:rsid w:val="00075B2C"/>
    <w:rsid w:val="00075FD1"/>
    <w:rsid w:val="00077712"/>
    <w:rsid w:val="0008364D"/>
    <w:rsid w:val="00085800"/>
    <w:rsid w:val="000865E3"/>
    <w:rsid w:val="0009041F"/>
    <w:rsid w:val="000917C5"/>
    <w:rsid w:val="00091CAB"/>
    <w:rsid w:val="00094DA3"/>
    <w:rsid w:val="00097DC6"/>
    <w:rsid w:val="000A36A9"/>
    <w:rsid w:val="000B0720"/>
    <w:rsid w:val="000B58AF"/>
    <w:rsid w:val="000B6D99"/>
    <w:rsid w:val="000C02B7"/>
    <w:rsid w:val="000C0533"/>
    <w:rsid w:val="000C05C0"/>
    <w:rsid w:val="000C21D0"/>
    <w:rsid w:val="000C57B9"/>
    <w:rsid w:val="000D176F"/>
    <w:rsid w:val="000D25E8"/>
    <w:rsid w:val="000D342A"/>
    <w:rsid w:val="000D38DC"/>
    <w:rsid w:val="000E15A0"/>
    <w:rsid w:val="000E182B"/>
    <w:rsid w:val="000E2283"/>
    <w:rsid w:val="000E29D8"/>
    <w:rsid w:val="000E4808"/>
    <w:rsid w:val="000E55D6"/>
    <w:rsid w:val="000E6E5E"/>
    <w:rsid w:val="000E7524"/>
    <w:rsid w:val="000F259D"/>
    <w:rsid w:val="000F6CCA"/>
    <w:rsid w:val="001014C6"/>
    <w:rsid w:val="0010303E"/>
    <w:rsid w:val="00103E8A"/>
    <w:rsid w:val="00105C11"/>
    <w:rsid w:val="001119AB"/>
    <w:rsid w:val="00111F83"/>
    <w:rsid w:val="0011327D"/>
    <w:rsid w:val="001139B2"/>
    <w:rsid w:val="00114145"/>
    <w:rsid w:val="0011588C"/>
    <w:rsid w:val="00116DA6"/>
    <w:rsid w:val="001279BC"/>
    <w:rsid w:val="00133D59"/>
    <w:rsid w:val="00134C07"/>
    <w:rsid w:val="001356D6"/>
    <w:rsid w:val="00137E15"/>
    <w:rsid w:val="001417A8"/>
    <w:rsid w:val="00147E95"/>
    <w:rsid w:val="00153793"/>
    <w:rsid w:val="001556D7"/>
    <w:rsid w:val="001615F4"/>
    <w:rsid w:val="00162B42"/>
    <w:rsid w:val="00163ABC"/>
    <w:rsid w:val="00164A98"/>
    <w:rsid w:val="00172302"/>
    <w:rsid w:val="00172743"/>
    <w:rsid w:val="00175301"/>
    <w:rsid w:val="001810ED"/>
    <w:rsid w:val="00184E81"/>
    <w:rsid w:val="001901AC"/>
    <w:rsid w:val="00190605"/>
    <w:rsid w:val="00196027"/>
    <w:rsid w:val="00196C36"/>
    <w:rsid w:val="001A5A68"/>
    <w:rsid w:val="001A6212"/>
    <w:rsid w:val="001A75E0"/>
    <w:rsid w:val="001B1E40"/>
    <w:rsid w:val="001B1F0D"/>
    <w:rsid w:val="001B2705"/>
    <w:rsid w:val="001B2D2A"/>
    <w:rsid w:val="001B39F1"/>
    <w:rsid w:val="001B3B59"/>
    <w:rsid w:val="001B7305"/>
    <w:rsid w:val="001B731B"/>
    <w:rsid w:val="001C37D5"/>
    <w:rsid w:val="001C4ACE"/>
    <w:rsid w:val="001C699C"/>
    <w:rsid w:val="001D3A9A"/>
    <w:rsid w:val="001D5128"/>
    <w:rsid w:val="001D743F"/>
    <w:rsid w:val="001E0196"/>
    <w:rsid w:val="001E02F3"/>
    <w:rsid w:val="001E0CE1"/>
    <w:rsid w:val="001E0D4B"/>
    <w:rsid w:val="001E404E"/>
    <w:rsid w:val="001E5602"/>
    <w:rsid w:val="001E58CC"/>
    <w:rsid w:val="001F02DD"/>
    <w:rsid w:val="001F140E"/>
    <w:rsid w:val="001F2A01"/>
    <w:rsid w:val="001F59ED"/>
    <w:rsid w:val="002013B3"/>
    <w:rsid w:val="00201870"/>
    <w:rsid w:val="002042FF"/>
    <w:rsid w:val="00205D2E"/>
    <w:rsid w:val="00207678"/>
    <w:rsid w:val="00207F57"/>
    <w:rsid w:val="00211D37"/>
    <w:rsid w:val="00212204"/>
    <w:rsid w:val="0021262A"/>
    <w:rsid w:val="00216763"/>
    <w:rsid w:val="0022193E"/>
    <w:rsid w:val="00222269"/>
    <w:rsid w:val="00222811"/>
    <w:rsid w:val="00222D3A"/>
    <w:rsid w:val="00225464"/>
    <w:rsid w:val="00233D70"/>
    <w:rsid w:val="00235373"/>
    <w:rsid w:val="00235F55"/>
    <w:rsid w:val="00240145"/>
    <w:rsid w:val="00240506"/>
    <w:rsid w:val="00241148"/>
    <w:rsid w:val="00242080"/>
    <w:rsid w:val="00244726"/>
    <w:rsid w:val="00246D61"/>
    <w:rsid w:val="00247511"/>
    <w:rsid w:val="0024786A"/>
    <w:rsid w:val="0025058B"/>
    <w:rsid w:val="00255E63"/>
    <w:rsid w:val="0026014B"/>
    <w:rsid w:val="00262116"/>
    <w:rsid w:val="002641FE"/>
    <w:rsid w:val="00265254"/>
    <w:rsid w:val="00267362"/>
    <w:rsid w:val="00271570"/>
    <w:rsid w:val="002725E8"/>
    <w:rsid w:val="00272EC2"/>
    <w:rsid w:val="00273B2A"/>
    <w:rsid w:val="0027434B"/>
    <w:rsid w:val="00274677"/>
    <w:rsid w:val="00276785"/>
    <w:rsid w:val="00277973"/>
    <w:rsid w:val="00281371"/>
    <w:rsid w:val="00287D4D"/>
    <w:rsid w:val="0029112F"/>
    <w:rsid w:val="0029147A"/>
    <w:rsid w:val="00297225"/>
    <w:rsid w:val="002A005E"/>
    <w:rsid w:val="002A0270"/>
    <w:rsid w:val="002A4852"/>
    <w:rsid w:val="002A66E2"/>
    <w:rsid w:val="002B1E1C"/>
    <w:rsid w:val="002B5E19"/>
    <w:rsid w:val="002B6E52"/>
    <w:rsid w:val="002C0488"/>
    <w:rsid w:val="002C1B50"/>
    <w:rsid w:val="002C4097"/>
    <w:rsid w:val="002C594E"/>
    <w:rsid w:val="002D2808"/>
    <w:rsid w:val="002D3D42"/>
    <w:rsid w:val="002D479B"/>
    <w:rsid w:val="002D6EC9"/>
    <w:rsid w:val="002D787B"/>
    <w:rsid w:val="002E188B"/>
    <w:rsid w:val="002E65B5"/>
    <w:rsid w:val="002F1C6C"/>
    <w:rsid w:val="002F1CDD"/>
    <w:rsid w:val="002F2F26"/>
    <w:rsid w:val="002F4C25"/>
    <w:rsid w:val="00300129"/>
    <w:rsid w:val="00300475"/>
    <w:rsid w:val="003141F5"/>
    <w:rsid w:val="00314EA1"/>
    <w:rsid w:val="00315566"/>
    <w:rsid w:val="00315DC4"/>
    <w:rsid w:val="00317020"/>
    <w:rsid w:val="00320B4D"/>
    <w:rsid w:val="003212BE"/>
    <w:rsid w:val="0032179D"/>
    <w:rsid w:val="00326FF6"/>
    <w:rsid w:val="00327A22"/>
    <w:rsid w:val="00332BB8"/>
    <w:rsid w:val="00333C59"/>
    <w:rsid w:val="0033513A"/>
    <w:rsid w:val="00342130"/>
    <w:rsid w:val="00346605"/>
    <w:rsid w:val="00347824"/>
    <w:rsid w:val="0035318F"/>
    <w:rsid w:val="00354C01"/>
    <w:rsid w:val="00356F4E"/>
    <w:rsid w:val="0036306A"/>
    <w:rsid w:val="00365A78"/>
    <w:rsid w:val="00372594"/>
    <w:rsid w:val="00372651"/>
    <w:rsid w:val="003727DB"/>
    <w:rsid w:val="00385177"/>
    <w:rsid w:val="00385522"/>
    <w:rsid w:val="00386642"/>
    <w:rsid w:val="00392176"/>
    <w:rsid w:val="003921D6"/>
    <w:rsid w:val="003947DB"/>
    <w:rsid w:val="00395ED3"/>
    <w:rsid w:val="00397058"/>
    <w:rsid w:val="003A0594"/>
    <w:rsid w:val="003A0B9B"/>
    <w:rsid w:val="003A298A"/>
    <w:rsid w:val="003A2CF2"/>
    <w:rsid w:val="003A380F"/>
    <w:rsid w:val="003A3AE3"/>
    <w:rsid w:val="003A3F9A"/>
    <w:rsid w:val="003A5288"/>
    <w:rsid w:val="003A553B"/>
    <w:rsid w:val="003A566A"/>
    <w:rsid w:val="003A5F41"/>
    <w:rsid w:val="003B1EC9"/>
    <w:rsid w:val="003B2F05"/>
    <w:rsid w:val="003B5456"/>
    <w:rsid w:val="003C2392"/>
    <w:rsid w:val="003C2E75"/>
    <w:rsid w:val="003C3250"/>
    <w:rsid w:val="003C7FBF"/>
    <w:rsid w:val="003E02B9"/>
    <w:rsid w:val="003E1304"/>
    <w:rsid w:val="003E35D4"/>
    <w:rsid w:val="003E7121"/>
    <w:rsid w:val="003F0731"/>
    <w:rsid w:val="003F33B4"/>
    <w:rsid w:val="004011AC"/>
    <w:rsid w:val="00402399"/>
    <w:rsid w:val="004043B6"/>
    <w:rsid w:val="00405F6D"/>
    <w:rsid w:val="004131D6"/>
    <w:rsid w:val="0041494F"/>
    <w:rsid w:val="00424124"/>
    <w:rsid w:val="00431089"/>
    <w:rsid w:val="00434212"/>
    <w:rsid w:val="004408F2"/>
    <w:rsid w:val="00440F6E"/>
    <w:rsid w:val="00443645"/>
    <w:rsid w:val="00443CD6"/>
    <w:rsid w:val="00444672"/>
    <w:rsid w:val="004552C9"/>
    <w:rsid w:val="004607AC"/>
    <w:rsid w:val="0046127E"/>
    <w:rsid w:val="00464389"/>
    <w:rsid w:val="00466E46"/>
    <w:rsid w:val="004678E1"/>
    <w:rsid w:val="00467BD4"/>
    <w:rsid w:val="004709B7"/>
    <w:rsid w:val="00473281"/>
    <w:rsid w:val="00473B68"/>
    <w:rsid w:val="00476836"/>
    <w:rsid w:val="00477F9F"/>
    <w:rsid w:val="0048301B"/>
    <w:rsid w:val="00484D2A"/>
    <w:rsid w:val="00491BD6"/>
    <w:rsid w:val="00494868"/>
    <w:rsid w:val="00494D73"/>
    <w:rsid w:val="004A5828"/>
    <w:rsid w:val="004A5ABE"/>
    <w:rsid w:val="004A6098"/>
    <w:rsid w:val="004A6424"/>
    <w:rsid w:val="004A69D0"/>
    <w:rsid w:val="004A6A82"/>
    <w:rsid w:val="004A7002"/>
    <w:rsid w:val="004A720A"/>
    <w:rsid w:val="004B15DB"/>
    <w:rsid w:val="004B19E9"/>
    <w:rsid w:val="004B6AA8"/>
    <w:rsid w:val="004B6E00"/>
    <w:rsid w:val="004C130E"/>
    <w:rsid w:val="004C186B"/>
    <w:rsid w:val="004C38DD"/>
    <w:rsid w:val="004C3F2E"/>
    <w:rsid w:val="004C4856"/>
    <w:rsid w:val="004C55EE"/>
    <w:rsid w:val="004C6DC3"/>
    <w:rsid w:val="004C6ED8"/>
    <w:rsid w:val="004C7784"/>
    <w:rsid w:val="004D453B"/>
    <w:rsid w:val="004D780D"/>
    <w:rsid w:val="004D7CF8"/>
    <w:rsid w:val="004E16A5"/>
    <w:rsid w:val="004E6BC0"/>
    <w:rsid w:val="004E6D3B"/>
    <w:rsid w:val="004E748E"/>
    <w:rsid w:val="004F12F1"/>
    <w:rsid w:val="005007E9"/>
    <w:rsid w:val="00501BE0"/>
    <w:rsid w:val="00504C05"/>
    <w:rsid w:val="00504E5F"/>
    <w:rsid w:val="005055A6"/>
    <w:rsid w:val="00507060"/>
    <w:rsid w:val="0051179B"/>
    <w:rsid w:val="00511874"/>
    <w:rsid w:val="00512838"/>
    <w:rsid w:val="005131F9"/>
    <w:rsid w:val="0051424F"/>
    <w:rsid w:val="0051706A"/>
    <w:rsid w:val="00523623"/>
    <w:rsid w:val="005249A6"/>
    <w:rsid w:val="005262C1"/>
    <w:rsid w:val="005264EA"/>
    <w:rsid w:val="00526A61"/>
    <w:rsid w:val="005300F0"/>
    <w:rsid w:val="00531213"/>
    <w:rsid w:val="005363F5"/>
    <w:rsid w:val="005373B7"/>
    <w:rsid w:val="00541819"/>
    <w:rsid w:val="0054560C"/>
    <w:rsid w:val="00545D5A"/>
    <w:rsid w:val="00545FD3"/>
    <w:rsid w:val="005508F9"/>
    <w:rsid w:val="0055464C"/>
    <w:rsid w:val="0056238B"/>
    <w:rsid w:val="00562645"/>
    <w:rsid w:val="00563B35"/>
    <w:rsid w:val="00565BDB"/>
    <w:rsid w:val="005665F6"/>
    <w:rsid w:val="005666A4"/>
    <w:rsid w:val="0057145F"/>
    <w:rsid w:val="005749E1"/>
    <w:rsid w:val="00575859"/>
    <w:rsid w:val="005758E7"/>
    <w:rsid w:val="005778C8"/>
    <w:rsid w:val="00577ACA"/>
    <w:rsid w:val="005802BD"/>
    <w:rsid w:val="0058120D"/>
    <w:rsid w:val="00582346"/>
    <w:rsid w:val="0058252D"/>
    <w:rsid w:val="0058347A"/>
    <w:rsid w:val="005847B4"/>
    <w:rsid w:val="0058506A"/>
    <w:rsid w:val="00587960"/>
    <w:rsid w:val="00591190"/>
    <w:rsid w:val="00591208"/>
    <w:rsid w:val="0059771F"/>
    <w:rsid w:val="005A0577"/>
    <w:rsid w:val="005A18B4"/>
    <w:rsid w:val="005A5E08"/>
    <w:rsid w:val="005A60B4"/>
    <w:rsid w:val="005B47BD"/>
    <w:rsid w:val="005B69C2"/>
    <w:rsid w:val="005B6FA6"/>
    <w:rsid w:val="005C55D3"/>
    <w:rsid w:val="005D2C51"/>
    <w:rsid w:val="005D4F9E"/>
    <w:rsid w:val="005E3160"/>
    <w:rsid w:val="005E5DCB"/>
    <w:rsid w:val="005E6EBD"/>
    <w:rsid w:val="005F21BF"/>
    <w:rsid w:val="005F3A08"/>
    <w:rsid w:val="005F613D"/>
    <w:rsid w:val="005F705D"/>
    <w:rsid w:val="00600F57"/>
    <w:rsid w:val="00603015"/>
    <w:rsid w:val="00604F3E"/>
    <w:rsid w:val="0060603E"/>
    <w:rsid w:val="00607CF4"/>
    <w:rsid w:val="00613926"/>
    <w:rsid w:val="00621955"/>
    <w:rsid w:val="00632789"/>
    <w:rsid w:val="00632B15"/>
    <w:rsid w:val="00633934"/>
    <w:rsid w:val="00634707"/>
    <w:rsid w:val="00636F9E"/>
    <w:rsid w:val="006439F2"/>
    <w:rsid w:val="00644034"/>
    <w:rsid w:val="0064540A"/>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0ACD"/>
    <w:rsid w:val="0069705B"/>
    <w:rsid w:val="006A0EDC"/>
    <w:rsid w:val="006A18DB"/>
    <w:rsid w:val="006A1FFE"/>
    <w:rsid w:val="006A2D2E"/>
    <w:rsid w:val="006A48D3"/>
    <w:rsid w:val="006A63AC"/>
    <w:rsid w:val="006A685D"/>
    <w:rsid w:val="006A6AF3"/>
    <w:rsid w:val="006A7067"/>
    <w:rsid w:val="006B05EC"/>
    <w:rsid w:val="006B67B9"/>
    <w:rsid w:val="006B6B74"/>
    <w:rsid w:val="006B6C31"/>
    <w:rsid w:val="006C0BAC"/>
    <w:rsid w:val="006C452E"/>
    <w:rsid w:val="006C4958"/>
    <w:rsid w:val="006C6199"/>
    <w:rsid w:val="006C6366"/>
    <w:rsid w:val="006C7692"/>
    <w:rsid w:val="006D2F17"/>
    <w:rsid w:val="006D4856"/>
    <w:rsid w:val="006D6ABC"/>
    <w:rsid w:val="006E790B"/>
    <w:rsid w:val="006F055C"/>
    <w:rsid w:val="006F09F0"/>
    <w:rsid w:val="006F0FA2"/>
    <w:rsid w:val="006F3E32"/>
    <w:rsid w:val="006F52D9"/>
    <w:rsid w:val="006F73F7"/>
    <w:rsid w:val="00702C40"/>
    <w:rsid w:val="00706685"/>
    <w:rsid w:val="00707438"/>
    <w:rsid w:val="00707D20"/>
    <w:rsid w:val="00710F58"/>
    <w:rsid w:val="0071107A"/>
    <w:rsid w:val="00713175"/>
    <w:rsid w:val="00713382"/>
    <w:rsid w:val="00713AE1"/>
    <w:rsid w:val="00714B77"/>
    <w:rsid w:val="00714CA5"/>
    <w:rsid w:val="00721AD7"/>
    <w:rsid w:val="007225EF"/>
    <w:rsid w:val="00722BA6"/>
    <w:rsid w:val="00723DC5"/>
    <w:rsid w:val="00725C40"/>
    <w:rsid w:val="00726B84"/>
    <w:rsid w:val="00727595"/>
    <w:rsid w:val="00727952"/>
    <w:rsid w:val="007316AF"/>
    <w:rsid w:val="00733066"/>
    <w:rsid w:val="007338D6"/>
    <w:rsid w:val="00733EB9"/>
    <w:rsid w:val="00736776"/>
    <w:rsid w:val="00740B36"/>
    <w:rsid w:val="007416A2"/>
    <w:rsid w:val="00741B18"/>
    <w:rsid w:val="00745452"/>
    <w:rsid w:val="00747A6F"/>
    <w:rsid w:val="00751FFA"/>
    <w:rsid w:val="0075276E"/>
    <w:rsid w:val="00753642"/>
    <w:rsid w:val="0075622F"/>
    <w:rsid w:val="0075669D"/>
    <w:rsid w:val="00757EA9"/>
    <w:rsid w:val="0076067D"/>
    <w:rsid w:val="00766E75"/>
    <w:rsid w:val="00773844"/>
    <w:rsid w:val="00773B29"/>
    <w:rsid w:val="00774C20"/>
    <w:rsid w:val="00782CDC"/>
    <w:rsid w:val="007839F9"/>
    <w:rsid w:val="00784079"/>
    <w:rsid w:val="00784132"/>
    <w:rsid w:val="00786229"/>
    <w:rsid w:val="0078708D"/>
    <w:rsid w:val="00787145"/>
    <w:rsid w:val="00791D57"/>
    <w:rsid w:val="00792E6F"/>
    <w:rsid w:val="007A0744"/>
    <w:rsid w:val="007A2765"/>
    <w:rsid w:val="007A65F1"/>
    <w:rsid w:val="007B13E5"/>
    <w:rsid w:val="007B2F6B"/>
    <w:rsid w:val="007B473A"/>
    <w:rsid w:val="007B4E79"/>
    <w:rsid w:val="007B6F7C"/>
    <w:rsid w:val="007C2993"/>
    <w:rsid w:val="007C4B85"/>
    <w:rsid w:val="007C624B"/>
    <w:rsid w:val="007C6338"/>
    <w:rsid w:val="007C7CF2"/>
    <w:rsid w:val="007D0BB2"/>
    <w:rsid w:val="007D2C48"/>
    <w:rsid w:val="007D4440"/>
    <w:rsid w:val="007E0AED"/>
    <w:rsid w:val="007E26FA"/>
    <w:rsid w:val="007E3546"/>
    <w:rsid w:val="007E52F3"/>
    <w:rsid w:val="007E546F"/>
    <w:rsid w:val="007F0AF3"/>
    <w:rsid w:val="007F1928"/>
    <w:rsid w:val="007F392E"/>
    <w:rsid w:val="00800946"/>
    <w:rsid w:val="00800F70"/>
    <w:rsid w:val="00802F47"/>
    <w:rsid w:val="00804862"/>
    <w:rsid w:val="00805CDF"/>
    <w:rsid w:val="00805E51"/>
    <w:rsid w:val="00811A1B"/>
    <w:rsid w:val="00811FCD"/>
    <w:rsid w:val="00814815"/>
    <w:rsid w:val="00824DED"/>
    <w:rsid w:val="00826E35"/>
    <w:rsid w:val="00826E5A"/>
    <w:rsid w:val="00831695"/>
    <w:rsid w:val="0083713D"/>
    <w:rsid w:val="00840540"/>
    <w:rsid w:val="00842F2C"/>
    <w:rsid w:val="008437B2"/>
    <w:rsid w:val="00843F1C"/>
    <w:rsid w:val="00850DCE"/>
    <w:rsid w:val="00853591"/>
    <w:rsid w:val="0085465A"/>
    <w:rsid w:val="00854FBB"/>
    <w:rsid w:val="0086373E"/>
    <w:rsid w:val="008661BA"/>
    <w:rsid w:val="008671A6"/>
    <w:rsid w:val="00870F0D"/>
    <w:rsid w:val="00871024"/>
    <w:rsid w:val="0087144B"/>
    <w:rsid w:val="00871CA8"/>
    <w:rsid w:val="00872D80"/>
    <w:rsid w:val="00872E80"/>
    <w:rsid w:val="008747AA"/>
    <w:rsid w:val="0087543D"/>
    <w:rsid w:val="00876446"/>
    <w:rsid w:val="00882DEE"/>
    <w:rsid w:val="00885004"/>
    <w:rsid w:val="00886940"/>
    <w:rsid w:val="00886B7B"/>
    <w:rsid w:val="00887AB4"/>
    <w:rsid w:val="00894290"/>
    <w:rsid w:val="008A25A1"/>
    <w:rsid w:val="008A3ABF"/>
    <w:rsid w:val="008A4A8B"/>
    <w:rsid w:val="008B39B6"/>
    <w:rsid w:val="008C0BEF"/>
    <w:rsid w:val="008C1AFD"/>
    <w:rsid w:val="008C4B67"/>
    <w:rsid w:val="008C7F60"/>
    <w:rsid w:val="008D1AEF"/>
    <w:rsid w:val="008E0D4D"/>
    <w:rsid w:val="008E4509"/>
    <w:rsid w:val="008E48C2"/>
    <w:rsid w:val="008E4ADB"/>
    <w:rsid w:val="008F0D8C"/>
    <w:rsid w:val="008F1BD1"/>
    <w:rsid w:val="008F2160"/>
    <w:rsid w:val="00901B67"/>
    <w:rsid w:val="00905768"/>
    <w:rsid w:val="00905E86"/>
    <w:rsid w:val="00911186"/>
    <w:rsid w:val="009124E4"/>
    <w:rsid w:val="009159CC"/>
    <w:rsid w:val="00917D0F"/>
    <w:rsid w:val="0092035A"/>
    <w:rsid w:val="009235BA"/>
    <w:rsid w:val="00924EA9"/>
    <w:rsid w:val="00925F8C"/>
    <w:rsid w:val="00925FA2"/>
    <w:rsid w:val="00926A9C"/>
    <w:rsid w:val="00927803"/>
    <w:rsid w:val="00931339"/>
    <w:rsid w:val="00933AFB"/>
    <w:rsid w:val="00940101"/>
    <w:rsid w:val="00940827"/>
    <w:rsid w:val="00940DAB"/>
    <w:rsid w:val="00940DDC"/>
    <w:rsid w:val="00941829"/>
    <w:rsid w:val="009445D2"/>
    <w:rsid w:val="009453B3"/>
    <w:rsid w:val="00954A35"/>
    <w:rsid w:val="009550DA"/>
    <w:rsid w:val="00957172"/>
    <w:rsid w:val="00957CD1"/>
    <w:rsid w:val="00960654"/>
    <w:rsid w:val="00961DB2"/>
    <w:rsid w:val="0097292F"/>
    <w:rsid w:val="009741D9"/>
    <w:rsid w:val="00974F3E"/>
    <w:rsid w:val="009750CC"/>
    <w:rsid w:val="00975275"/>
    <w:rsid w:val="00980746"/>
    <w:rsid w:val="00982CA4"/>
    <w:rsid w:val="00984235"/>
    <w:rsid w:val="009842C1"/>
    <w:rsid w:val="00992432"/>
    <w:rsid w:val="00993D92"/>
    <w:rsid w:val="00995D90"/>
    <w:rsid w:val="009967BA"/>
    <w:rsid w:val="00997E4E"/>
    <w:rsid w:val="009A360B"/>
    <w:rsid w:val="009A4D63"/>
    <w:rsid w:val="009A54FC"/>
    <w:rsid w:val="009B08C5"/>
    <w:rsid w:val="009B15BF"/>
    <w:rsid w:val="009B52C0"/>
    <w:rsid w:val="009B6ADC"/>
    <w:rsid w:val="009B75E8"/>
    <w:rsid w:val="009C2167"/>
    <w:rsid w:val="009C21C2"/>
    <w:rsid w:val="009C4F8A"/>
    <w:rsid w:val="009D46C1"/>
    <w:rsid w:val="009D7145"/>
    <w:rsid w:val="009D7A0D"/>
    <w:rsid w:val="009E00D4"/>
    <w:rsid w:val="009E0D02"/>
    <w:rsid w:val="009E4418"/>
    <w:rsid w:val="009E5838"/>
    <w:rsid w:val="00A0235E"/>
    <w:rsid w:val="00A02A54"/>
    <w:rsid w:val="00A04526"/>
    <w:rsid w:val="00A11704"/>
    <w:rsid w:val="00A11840"/>
    <w:rsid w:val="00A12BE1"/>
    <w:rsid w:val="00A14282"/>
    <w:rsid w:val="00A160C6"/>
    <w:rsid w:val="00A16904"/>
    <w:rsid w:val="00A21D13"/>
    <w:rsid w:val="00A22671"/>
    <w:rsid w:val="00A22C61"/>
    <w:rsid w:val="00A262E4"/>
    <w:rsid w:val="00A26EC3"/>
    <w:rsid w:val="00A300E0"/>
    <w:rsid w:val="00A3158B"/>
    <w:rsid w:val="00A34F57"/>
    <w:rsid w:val="00A359C7"/>
    <w:rsid w:val="00A360BE"/>
    <w:rsid w:val="00A37A6B"/>
    <w:rsid w:val="00A41CF3"/>
    <w:rsid w:val="00A44DA4"/>
    <w:rsid w:val="00A456B1"/>
    <w:rsid w:val="00A4674D"/>
    <w:rsid w:val="00A547CE"/>
    <w:rsid w:val="00A55FF3"/>
    <w:rsid w:val="00A603CE"/>
    <w:rsid w:val="00A605F1"/>
    <w:rsid w:val="00A61CB6"/>
    <w:rsid w:val="00A64116"/>
    <w:rsid w:val="00A64CF7"/>
    <w:rsid w:val="00A672BA"/>
    <w:rsid w:val="00A7287B"/>
    <w:rsid w:val="00A72B33"/>
    <w:rsid w:val="00A746BB"/>
    <w:rsid w:val="00A821EA"/>
    <w:rsid w:val="00A87041"/>
    <w:rsid w:val="00A8721E"/>
    <w:rsid w:val="00A92495"/>
    <w:rsid w:val="00A92669"/>
    <w:rsid w:val="00A97790"/>
    <w:rsid w:val="00AA12B3"/>
    <w:rsid w:val="00AA2AE1"/>
    <w:rsid w:val="00AA5160"/>
    <w:rsid w:val="00AA5899"/>
    <w:rsid w:val="00AB0589"/>
    <w:rsid w:val="00AB75A3"/>
    <w:rsid w:val="00AB7DFF"/>
    <w:rsid w:val="00AB7FC6"/>
    <w:rsid w:val="00AC05AE"/>
    <w:rsid w:val="00AD0F30"/>
    <w:rsid w:val="00AD115D"/>
    <w:rsid w:val="00AD16AE"/>
    <w:rsid w:val="00AD6C53"/>
    <w:rsid w:val="00AD7A71"/>
    <w:rsid w:val="00AE2672"/>
    <w:rsid w:val="00AE72F4"/>
    <w:rsid w:val="00AE7B02"/>
    <w:rsid w:val="00AE7CA4"/>
    <w:rsid w:val="00AF0A4B"/>
    <w:rsid w:val="00AF3BF2"/>
    <w:rsid w:val="00AF4BBC"/>
    <w:rsid w:val="00AF5875"/>
    <w:rsid w:val="00AF6428"/>
    <w:rsid w:val="00AF65DE"/>
    <w:rsid w:val="00AF733C"/>
    <w:rsid w:val="00AF7486"/>
    <w:rsid w:val="00AF755C"/>
    <w:rsid w:val="00AF7EE6"/>
    <w:rsid w:val="00B00828"/>
    <w:rsid w:val="00B01529"/>
    <w:rsid w:val="00B04278"/>
    <w:rsid w:val="00B12672"/>
    <w:rsid w:val="00B17406"/>
    <w:rsid w:val="00B21299"/>
    <w:rsid w:val="00B21871"/>
    <w:rsid w:val="00B2434D"/>
    <w:rsid w:val="00B24D29"/>
    <w:rsid w:val="00B32216"/>
    <w:rsid w:val="00B3454C"/>
    <w:rsid w:val="00B34716"/>
    <w:rsid w:val="00B3707E"/>
    <w:rsid w:val="00B40DE1"/>
    <w:rsid w:val="00B460A0"/>
    <w:rsid w:val="00B50666"/>
    <w:rsid w:val="00B510B8"/>
    <w:rsid w:val="00B558D7"/>
    <w:rsid w:val="00B55FA2"/>
    <w:rsid w:val="00B61A13"/>
    <w:rsid w:val="00B6232D"/>
    <w:rsid w:val="00B648CA"/>
    <w:rsid w:val="00B65289"/>
    <w:rsid w:val="00B714C9"/>
    <w:rsid w:val="00B74894"/>
    <w:rsid w:val="00B749FB"/>
    <w:rsid w:val="00B75FF7"/>
    <w:rsid w:val="00B7751E"/>
    <w:rsid w:val="00B82B83"/>
    <w:rsid w:val="00B83E07"/>
    <w:rsid w:val="00B909F7"/>
    <w:rsid w:val="00B925EB"/>
    <w:rsid w:val="00B927AF"/>
    <w:rsid w:val="00B94C68"/>
    <w:rsid w:val="00B968EB"/>
    <w:rsid w:val="00B96A24"/>
    <w:rsid w:val="00B96F87"/>
    <w:rsid w:val="00B974D0"/>
    <w:rsid w:val="00BA07D0"/>
    <w:rsid w:val="00BA677D"/>
    <w:rsid w:val="00BA6FDB"/>
    <w:rsid w:val="00BB02D4"/>
    <w:rsid w:val="00BB02ED"/>
    <w:rsid w:val="00BB2BB0"/>
    <w:rsid w:val="00BB3CBF"/>
    <w:rsid w:val="00BB5132"/>
    <w:rsid w:val="00BB6E66"/>
    <w:rsid w:val="00BB7EC5"/>
    <w:rsid w:val="00BC2DFF"/>
    <w:rsid w:val="00BC31F9"/>
    <w:rsid w:val="00BC6F83"/>
    <w:rsid w:val="00BC704C"/>
    <w:rsid w:val="00BD0FF7"/>
    <w:rsid w:val="00BD15E1"/>
    <w:rsid w:val="00BD2886"/>
    <w:rsid w:val="00BD34B4"/>
    <w:rsid w:val="00BD43CB"/>
    <w:rsid w:val="00BD7E46"/>
    <w:rsid w:val="00BE1C54"/>
    <w:rsid w:val="00BE26B4"/>
    <w:rsid w:val="00BF0257"/>
    <w:rsid w:val="00BF2C5D"/>
    <w:rsid w:val="00BF31E3"/>
    <w:rsid w:val="00BF3C49"/>
    <w:rsid w:val="00BF5F1C"/>
    <w:rsid w:val="00C04E8A"/>
    <w:rsid w:val="00C068CE"/>
    <w:rsid w:val="00C07731"/>
    <w:rsid w:val="00C07A15"/>
    <w:rsid w:val="00C11DC0"/>
    <w:rsid w:val="00C14D85"/>
    <w:rsid w:val="00C17E83"/>
    <w:rsid w:val="00C218A9"/>
    <w:rsid w:val="00C232EA"/>
    <w:rsid w:val="00C261F4"/>
    <w:rsid w:val="00C30C6F"/>
    <w:rsid w:val="00C33C53"/>
    <w:rsid w:val="00C408C7"/>
    <w:rsid w:val="00C40BE6"/>
    <w:rsid w:val="00C47EE0"/>
    <w:rsid w:val="00C5283A"/>
    <w:rsid w:val="00C530BC"/>
    <w:rsid w:val="00C534CA"/>
    <w:rsid w:val="00C55D8F"/>
    <w:rsid w:val="00C565F1"/>
    <w:rsid w:val="00C63006"/>
    <w:rsid w:val="00C67568"/>
    <w:rsid w:val="00C7007B"/>
    <w:rsid w:val="00C71613"/>
    <w:rsid w:val="00C71871"/>
    <w:rsid w:val="00C724F1"/>
    <w:rsid w:val="00C735F1"/>
    <w:rsid w:val="00C76531"/>
    <w:rsid w:val="00C76B62"/>
    <w:rsid w:val="00C86EC7"/>
    <w:rsid w:val="00C913B6"/>
    <w:rsid w:val="00C91C5E"/>
    <w:rsid w:val="00C92359"/>
    <w:rsid w:val="00C92E44"/>
    <w:rsid w:val="00CA6EA3"/>
    <w:rsid w:val="00CB15A7"/>
    <w:rsid w:val="00CB22CC"/>
    <w:rsid w:val="00CB6D97"/>
    <w:rsid w:val="00CC09CE"/>
    <w:rsid w:val="00CC1383"/>
    <w:rsid w:val="00CC371F"/>
    <w:rsid w:val="00CD0E88"/>
    <w:rsid w:val="00CD7B54"/>
    <w:rsid w:val="00CE0C9D"/>
    <w:rsid w:val="00CE1FF5"/>
    <w:rsid w:val="00CE2274"/>
    <w:rsid w:val="00CE7B29"/>
    <w:rsid w:val="00D10682"/>
    <w:rsid w:val="00D117FD"/>
    <w:rsid w:val="00D11ABE"/>
    <w:rsid w:val="00D134C5"/>
    <w:rsid w:val="00D23CDC"/>
    <w:rsid w:val="00D26593"/>
    <w:rsid w:val="00D268EB"/>
    <w:rsid w:val="00D26CFF"/>
    <w:rsid w:val="00D274C6"/>
    <w:rsid w:val="00D27AF6"/>
    <w:rsid w:val="00D37270"/>
    <w:rsid w:val="00D446F1"/>
    <w:rsid w:val="00D456D8"/>
    <w:rsid w:val="00D45A0E"/>
    <w:rsid w:val="00D4645D"/>
    <w:rsid w:val="00D4758C"/>
    <w:rsid w:val="00D47BCE"/>
    <w:rsid w:val="00D50169"/>
    <w:rsid w:val="00D5391C"/>
    <w:rsid w:val="00D5594F"/>
    <w:rsid w:val="00D55C24"/>
    <w:rsid w:val="00D55FAB"/>
    <w:rsid w:val="00D56786"/>
    <w:rsid w:val="00D60542"/>
    <w:rsid w:val="00D613EA"/>
    <w:rsid w:val="00D61EAB"/>
    <w:rsid w:val="00D66A30"/>
    <w:rsid w:val="00D6706B"/>
    <w:rsid w:val="00D701D3"/>
    <w:rsid w:val="00D724F9"/>
    <w:rsid w:val="00D7445F"/>
    <w:rsid w:val="00D813F8"/>
    <w:rsid w:val="00D9094D"/>
    <w:rsid w:val="00D91E8D"/>
    <w:rsid w:val="00D9261A"/>
    <w:rsid w:val="00D92B1D"/>
    <w:rsid w:val="00D93FEB"/>
    <w:rsid w:val="00D941F9"/>
    <w:rsid w:val="00D9529A"/>
    <w:rsid w:val="00D955AE"/>
    <w:rsid w:val="00DA516E"/>
    <w:rsid w:val="00DA7679"/>
    <w:rsid w:val="00DB0323"/>
    <w:rsid w:val="00DB04CF"/>
    <w:rsid w:val="00DB1F43"/>
    <w:rsid w:val="00DB1FA7"/>
    <w:rsid w:val="00DB3BF6"/>
    <w:rsid w:val="00DB3BFC"/>
    <w:rsid w:val="00DC0E31"/>
    <w:rsid w:val="00DC3F63"/>
    <w:rsid w:val="00DC4FEF"/>
    <w:rsid w:val="00DC5659"/>
    <w:rsid w:val="00DC70D0"/>
    <w:rsid w:val="00DC7DD6"/>
    <w:rsid w:val="00DD3421"/>
    <w:rsid w:val="00DD3971"/>
    <w:rsid w:val="00DD663E"/>
    <w:rsid w:val="00DE2A3F"/>
    <w:rsid w:val="00DF5F45"/>
    <w:rsid w:val="00DF7360"/>
    <w:rsid w:val="00E035F3"/>
    <w:rsid w:val="00E03E65"/>
    <w:rsid w:val="00E0520F"/>
    <w:rsid w:val="00E06B55"/>
    <w:rsid w:val="00E07AD0"/>
    <w:rsid w:val="00E07DCB"/>
    <w:rsid w:val="00E119FA"/>
    <w:rsid w:val="00E13146"/>
    <w:rsid w:val="00E14C1F"/>
    <w:rsid w:val="00E16C01"/>
    <w:rsid w:val="00E174FC"/>
    <w:rsid w:val="00E20070"/>
    <w:rsid w:val="00E20994"/>
    <w:rsid w:val="00E216F0"/>
    <w:rsid w:val="00E22124"/>
    <w:rsid w:val="00E24FE5"/>
    <w:rsid w:val="00E261AD"/>
    <w:rsid w:val="00E27849"/>
    <w:rsid w:val="00E324C0"/>
    <w:rsid w:val="00E40344"/>
    <w:rsid w:val="00E40E4D"/>
    <w:rsid w:val="00E42D1C"/>
    <w:rsid w:val="00E4377A"/>
    <w:rsid w:val="00E45042"/>
    <w:rsid w:val="00E46D61"/>
    <w:rsid w:val="00E54061"/>
    <w:rsid w:val="00E545F2"/>
    <w:rsid w:val="00E54CC6"/>
    <w:rsid w:val="00E56C7E"/>
    <w:rsid w:val="00E57082"/>
    <w:rsid w:val="00E576BD"/>
    <w:rsid w:val="00E57BE9"/>
    <w:rsid w:val="00E600BA"/>
    <w:rsid w:val="00E604D6"/>
    <w:rsid w:val="00E608AC"/>
    <w:rsid w:val="00E67086"/>
    <w:rsid w:val="00E70DD5"/>
    <w:rsid w:val="00E83AA8"/>
    <w:rsid w:val="00E857E4"/>
    <w:rsid w:val="00E85B05"/>
    <w:rsid w:val="00E903D7"/>
    <w:rsid w:val="00E905A5"/>
    <w:rsid w:val="00E9139D"/>
    <w:rsid w:val="00E92487"/>
    <w:rsid w:val="00E92812"/>
    <w:rsid w:val="00E92E84"/>
    <w:rsid w:val="00EA17FF"/>
    <w:rsid w:val="00EA1A49"/>
    <w:rsid w:val="00EA26E5"/>
    <w:rsid w:val="00EA3B02"/>
    <w:rsid w:val="00EA524D"/>
    <w:rsid w:val="00EA5A59"/>
    <w:rsid w:val="00EA5BBD"/>
    <w:rsid w:val="00EA6213"/>
    <w:rsid w:val="00EB055B"/>
    <w:rsid w:val="00EB0C39"/>
    <w:rsid w:val="00EB3301"/>
    <w:rsid w:val="00EB34F1"/>
    <w:rsid w:val="00EB53F6"/>
    <w:rsid w:val="00EB588F"/>
    <w:rsid w:val="00EC04FF"/>
    <w:rsid w:val="00ED0B05"/>
    <w:rsid w:val="00ED10C7"/>
    <w:rsid w:val="00ED6624"/>
    <w:rsid w:val="00ED7213"/>
    <w:rsid w:val="00EE2068"/>
    <w:rsid w:val="00EE4A18"/>
    <w:rsid w:val="00EE5CBB"/>
    <w:rsid w:val="00EF1F69"/>
    <w:rsid w:val="00EF61D1"/>
    <w:rsid w:val="00F01ECB"/>
    <w:rsid w:val="00F05333"/>
    <w:rsid w:val="00F07649"/>
    <w:rsid w:val="00F1311C"/>
    <w:rsid w:val="00F13A40"/>
    <w:rsid w:val="00F154D0"/>
    <w:rsid w:val="00F164FA"/>
    <w:rsid w:val="00F20DFF"/>
    <w:rsid w:val="00F22E8D"/>
    <w:rsid w:val="00F246F5"/>
    <w:rsid w:val="00F261D6"/>
    <w:rsid w:val="00F26D45"/>
    <w:rsid w:val="00F27804"/>
    <w:rsid w:val="00F30AD0"/>
    <w:rsid w:val="00F30C84"/>
    <w:rsid w:val="00F3161F"/>
    <w:rsid w:val="00F35704"/>
    <w:rsid w:val="00F35911"/>
    <w:rsid w:val="00F35DD7"/>
    <w:rsid w:val="00F42D43"/>
    <w:rsid w:val="00F463C9"/>
    <w:rsid w:val="00F4651F"/>
    <w:rsid w:val="00F53ECE"/>
    <w:rsid w:val="00F57965"/>
    <w:rsid w:val="00F62702"/>
    <w:rsid w:val="00F62C88"/>
    <w:rsid w:val="00F70720"/>
    <w:rsid w:val="00F71810"/>
    <w:rsid w:val="00F72ABE"/>
    <w:rsid w:val="00F72B1B"/>
    <w:rsid w:val="00F73816"/>
    <w:rsid w:val="00F73933"/>
    <w:rsid w:val="00F74796"/>
    <w:rsid w:val="00F752E4"/>
    <w:rsid w:val="00F7596C"/>
    <w:rsid w:val="00F75F2B"/>
    <w:rsid w:val="00F76733"/>
    <w:rsid w:val="00F76A86"/>
    <w:rsid w:val="00F77BD6"/>
    <w:rsid w:val="00F77E12"/>
    <w:rsid w:val="00F8020B"/>
    <w:rsid w:val="00F814DE"/>
    <w:rsid w:val="00F82906"/>
    <w:rsid w:val="00F86EE6"/>
    <w:rsid w:val="00F870F3"/>
    <w:rsid w:val="00F90045"/>
    <w:rsid w:val="00F925FE"/>
    <w:rsid w:val="00F959A1"/>
    <w:rsid w:val="00F97F79"/>
    <w:rsid w:val="00FA0472"/>
    <w:rsid w:val="00FA2700"/>
    <w:rsid w:val="00FA28D1"/>
    <w:rsid w:val="00FA603A"/>
    <w:rsid w:val="00FA6558"/>
    <w:rsid w:val="00FB2665"/>
    <w:rsid w:val="00FB4A6D"/>
    <w:rsid w:val="00FC16C1"/>
    <w:rsid w:val="00FC18CF"/>
    <w:rsid w:val="00FC20D0"/>
    <w:rsid w:val="00FC3DE0"/>
    <w:rsid w:val="00FC4D96"/>
    <w:rsid w:val="00FC56D8"/>
    <w:rsid w:val="00FC61FD"/>
    <w:rsid w:val="00FD09FC"/>
    <w:rsid w:val="00FD2C8C"/>
    <w:rsid w:val="00FD3BDF"/>
    <w:rsid w:val="00FD489B"/>
    <w:rsid w:val="00FD530D"/>
    <w:rsid w:val="00FD58DE"/>
    <w:rsid w:val="00FD6F1A"/>
    <w:rsid w:val="00FD791D"/>
    <w:rsid w:val="00FE0217"/>
    <w:rsid w:val="00FE233E"/>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B68FA"/>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nhideWhenUsed/>
    <w:rsid w:val="00AD115D"/>
    <w:pPr>
      <w:tabs>
        <w:tab w:val="center" w:pos="4680"/>
        <w:tab w:val="right" w:pos="9360"/>
      </w:tabs>
      <w:spacing w:before="0" w:after="0"/>
    </w:pPr>
  </w:style>
  <w:style w:type="character" w:customStyle="1" w:styleId="HeaderChar">
    <w:name w:val="Header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qFormat/>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5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2177498">
      <w:bodyDiv w:val="1"/>
      <w:marLeft w:val="0"/>
      <w:marRight w:val="0"/>
      <w:marTop w:val="0"/>
      <w:marBottom w:val="0"/>
      <w:divBdr>
        <w:top w:val="none" w:sz="0" w:space="0" w:color="auto"/>
        <w:left w:val="none" w:sz="0" w:space="0" w:color="auto"/>
        <w:bottom w:val="none" w:sz="0" w:space="0" w:color="auto"/>
        <w:right w:val="none" w:sz="0" w:space="0" w:color="auto"/>
      </w:divBdr>
    </w:div>
    <w:div w:id="403379467">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34309297">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05665732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1BB07-6C28-4753-8483-63861F3F9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10715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dc:creator>
  <cp:keywords/>
  <cp:lastModifiedBy>Milap Majmundar</cp:lastModifiedBy>
  <cp:revision>8</cp:revision>
  <cp:lastPrinted>2018-09-28T20:14:00Z</cp:lastPrinted>
  <dcterms:created xsi:type="dcterms:W3CDTF">2021-10-21T18:42:00Z</dcterms:created>
  <dcterms:modified xsi:type="dcterms:W3CDTF">2021-10-21T21:49:00Z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